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rPr>
          <w:rFonts w:asciiTheme="minorEastAsia" w:hAnsiTheme="minorEastAsia" w:eastAsiaTheme="minorEastAsia"/>
          <w:sz w:val="32"/>
          <w:szCs w:val="32"/>
        </w:rPr>
      </w:pPr>
      <w:bookmarkStart w:id="0" w:name="_Toc11693"/>
      <w:r>
        <w:rPr>
          <w:rFonts w:hint="eastAsia" w:asciiTheme="minorEastAsia" w:hAnsiTheme="minorEastAsia" w:eastAsiaTheme="minorEastAsia"/>
          <w:sz w:val="32"/>
          <w:szCs w:val="32"/>
        </w:rPr>
        <w:t xml:space="preserve"> 一、背景</w:t>
      </w:r>
      <w:bookmarkEnd w:id="0"/>
    </w:p>
    <w:p>
      <w:pPr>
        <w:adjustRightInd w:val="0"/>
        <w:snapToGrid w:val="0"/>
        <w:spacing w:line="6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东莞市乐雅社会工作服务中心（以下简称“乐雅社工”）成立于2010年3月18日。总部设立在东莞市樟木头镇，是东莞市山区片首家社工组织。</w:t>
      </w:r>
      <w:r>
        <w:rPr>
          <w:rFonts w:hint="eastAsia" w:asciiTheme="minorEastAsia" w:hAnsiTheme="minorEastAsia" w:cstheme="minorEastAsia"/>
          <w:bCs/>
          <w:color w:val="000000" w:themeColor="text1"/>
          <w:sz w:val="28"/>
          <w:szCs w:val="28"/>
        </w:rPr>
        <w:t>乐雅社工</w:t>
      </w:r>
      <w:r>
        <w:rPr>
          <w:rFonts w:hint="eastAsia" w:cs="仿宋_GB2312" w:asciiTheme="minorEastAsia" w:hAnsiTheme="minorEastAsia"/>
          <w:sz w:val="28"/>
          <w:szCs w:val="28"/>
        </w:rPr>
        <w:t>主要以「长者关怀」「社区服务」「民政帮扶」「医务服务」「居家养老</w:t>
      </w:r>
      <w:r>
        <w:rPr>
          <w:rFonts w:hint="eastAsia" w:cs="仿宋_GB2312" w:asciiTheme="minorEastAsia" w:hAnsiTheme="minorEastAsia"/>
          <w:sz w:val="28"/>
          <w:szCs w:val="28"/>
          <w:lang w:eastAsia="zh-CN"/>
        </w:rPr>
        <w:t>服务</w:t>
      </w:r>
      <w:r>
        <w:rPr>
          <w:rFonts w:hint="eastAsia" w:cs="仿宋_GB2312" w:asciiTheme="minorEastAsia" w:hAnsiTheme="minorEastAsia"/>
          <w:sz w:val="28"/>
          <w:szCs w:val="28"/>
        </w:rPr>
        <w:t>项目」「残疾人康复就业中心项目」为主要内容，目前</w:t>
      </w:r>
      <w:r>
        <w:rPr>
          <w:rFonts w:hint="eastAsia" w:asciiTheme="minorEastAsia" w:hAnsiTheme="minorEastAsia" w:cstheme="minorEastAsia"/>
          <w:bCs/>
          <w:color w:val="000000" w:themeColor="text1"/>
          <w:sz w:val="28"/>
          <w:szCs w:val="28"/>
        </w:rPr>
        <w:t>承接运营中项目近30个（其中8个中心因以奖代补政策结束，在中期终止项目），主要服务单位辐射东莞市18个镇街，涉及市民政、市医务、市军休等领域市直社工服务项目，</w:t>
      </w:r>
      <w:r>
        <w:rPr>
          <w:rFonts w:hint="eastAsia" w:asciiTheme="minorEastAsia" w:hAnsiTheme="minorEastAsia" w:cstheme="minorEastAsia"/>
          <w:bCs/>
          <w:color w:val="000000" w:themeColor="text1"/>
          <w:sz w:val="28"/>
          <w:szCs w:val="28"/>
          <w:lang w:eastAsia="zh-CN"/>
        </w:rPr>
        <w:t>妇联</w:t>
      </w:r>
      <w:r>
        <w:rPr>
          <w:rFonts w:hint="eastAsia" w:asciiTheme="minorEastAsia" w:hAnsiTheme="minorEastAsia" w:cstheme="minorEastAsia"/>
          <w:bCs/>
          <w:color w:val="000000" w:themeColor="text1"/>
          <w:sz w:val="28"/>
          <w:szCs w:val="28"/>
        </w:rPr>
        <w:t>、团委、司法、学校、</w:t>
      </w:r>
      <w:r>
        <w:rPr>
          <w:rFonts w:hint="eastAsia" w:asciiTheme="minorEastAsia" w:hAnsiTheme="minorEastAsia" w:cstheme="minorEastAsia"/>
          <w:bCs/>
          <w:color w:val="000000" w:themeColor="text1"/>
          <w:sz w:val="28"/>
          <w:szCs w:val="28"/>
          <w:lang w:eastAsia="zh-CN"/>
        </w:rPr>
        <w:t>企工委、</w:t>
      </w:r>
      <w:r>
        <w:rPr>
          <w:rFonts w:hint="eastAsia" w:asciiTheme="minorEastAsia" w:hAnsiTheme="minorEastAsia" w:cstheme="minorEastAsia"/>
          <w:bCs/>
          <w:color w:val="000000" w:themeColor="text1"/>
          <w:sz w:val="28"/>
          <w:szCs w:val="28"/>
        </w:rPr>
        <w:t>工会、敬老院等领域镇街社工服务项目，社区综合服务、残疾人康复服务、居家养老服务等服务项目。</w:t>
      </w:r>
    </w:p>
    <w:p>
      <w:pPr>
        <w:adjustRightInd w:val="0"/>
        <w:snapToGrid w:val="0"/>
        <w:spacing w:line="600" w:lineRule="exact"/>
        <w:ind w:firstLine="560" w:firstLineChars="200"/>
        <w:rPr>
          <w:rFonts w:hint="eastAsia" w:cs="仿宋_GB2312" w:asciiTheme="minorEastAsia" w:hAnsiTheme="minorEastAsia"/>
          <w:sz w:val="28"/>
          <w:szCs w:val="28"/>
        </w:rPr>
      </w:pPr>
      <w:r>
        <w:rPr>
          <w:rFonts w:hint="eastAsia" w:cs="仿宋_GB2312" w:asciiTheme="minorEastAsia" w:hAnsiTheme="minorEastAsia"/>
          <w:sz w:val="28"/>
          <w:szCs w:val="28"/>
        </w:rPr>
        <w:t>2021年, 在社会各界的大力支持下</w:t>
      </w:r>
      <w:r>
        <w:rPr>
          <w:rFonts w:hint="eastAsia" w:asciiTheme="minorEastAsia" w:hAnsiTheme="minorEastAsia" w:cstheme="minorEastAsia"/>
          <w:bCs/>
          <w:color w:val="000000" w:themeColor="text1"/>
          <w:sz w:val="28"/>
          <w:szCs w:val="28"/>
        </w:rPr>
        <w:t>，在理事会、党支部的正确领导下，乐雅社工奋勇前行，始终坚持“党建引领，组织建设，扎根基层，服务创新”</w:t>
      </w:r>
      <w:r>
        <w:rPr>
          <w:rFonts w:hint="eastAsia" w:cs="仿宋_GB2312" w:asciiTheme="minorEastAsia" w:hAnsiTheme="minorEastAsia"/>
          <w:sz w:val="28"/>
          <w:szCs w:val="28"/>
        </w:rPr>
        <w:t>的指导思想，在人才培育、党组织发展、组织规范建设、培训与督导输出、项目拓展等方面都有了较大提升</w:t>
      </w:r>
      <w:r>
        <w:rPr>
          <w:rFonts w:hint="eastAsia" w:cs="仿宋_GB2312" w:asciiTheme="minorEastAsia" w:hAnsiTheme="minorEastAsia"/>
          <w:sz w:val="28"/>
          <w:szCs w:val="28"/>
          <w:lang w:eastAsia="zh-CN"/>
        </w:rPr>
        <w:t>。</w:t>
      </w:r>
      <w:r>
        <w:rPr>
          <w:rFonts w:hint="eastAsia" w:cs="仿宋_GB2312" w:asciiTheme="minorEastAsia" w:hAnsiTheme="minorEastAsia"/>
          <w:sz w:val="28"/>
          <w:szCs w:val="28"/>
        </w:rPr>
        <w:t>乐雅</w:t>
      </w:r>
      <w:r>
        <w:rPr>
          <w:rFonts w:hint="eastAsia" w:cs="仿宋_GB2312" w:asciiTheme="minorEastAsia" w:hAnsiTheme="minorEastAsia"/>
          <w:sz w:val="28"/>
          <w:szCs w:val="28"/>
          <w:lang w:eastAsia="zh-CN"/>
        </w:rPr>
        <w:t>社工</w:t>
      </w:r>
      <w:r>
        <w:rPr>
          <w:rFonts w:hint="eastAsia" w:cs="仿宋_GB2312" w:asciiTheme="minorEastAsia" w:hAnsiTheme="minorEastAsia"/>
          <w:sz w:val="28"/>
          <w:szCs w:val="28"/>
        </w:rPr>
        <w:t>理事长吴旭东先生《关于加快推进我市社区居家养老服务工作的提案》荣获2020年度</w:t>
      </w:r>
      <w:r>
        <w:rPr>
          <w:rFonts w:hint="eastAsia" w:cs="仿宋_GB2312" w:asciiTheme="minorEastAsia" w:hAnsiTheme="minorEastAsia"/>
          <w:sz w:val="28"/>
          <w:szCs w:val="28"/>
          <w:lang w:eastAsia="zh-CN"/>
        </w:rPr>
        <w:t>中共云浮市政协</w:t>
      </w:r>
      <w:r>
        <w:rPr>
          <w:rFonts w:hint="eastAsia" w:cs="仿宋_GB2312" w:asciiTheme="minorEastAsia" w:hAnsiTheme="minorEastAsia"/>
          <w:sz w:val="28"/>
          <w:szCs w:val="28"/>
        </w:rPr>
        <w:t>优秀提案</w:t>
      </w:r>
      <w:r>
        <w:rPr>
          <w:rFonts w:hint="eastAsia" w:cs="仿宋_GB2312" w:asciiTheme="minorEastAsia" w:hAnsiTheme="minorEastAsia"/>
          <w:sz w:val="28"/>
          <w:szCs w:val="28"/>
          <w:lang w:eastAsia="zh-CN"/>
        </w:rPr>
        <w:t>，乐雅社工当选广东省社会工作协会第三届副会长单位、东莞社会组织总会第二届理事单位、</w:t>
      </w:r>
      <w:r>
        <w:rPr>
          <w:rFonts w:hint="eastAsia" w:cs="仿宋_GB2312" w:asciiTheme="minorEastAsia" w:hAnsiTheme="minorEastAsia"/>
          <w:sz w:val="28"/>
          <w:szCs w:val="28"/>
        </w:rPr>
        <w:t>2021年度华南区优秀社会心理服务机构</w:t>
      </w:r>
      <w:r>
        <w:rPr>
          <w:rFonts w:hint="eastAsia" w:cs="仿宋_GB2312" w:asciiTheme="minorEastAsia" w:hAnsiTheme="minorEastAsia"/>
          <w:sz w:val="28"/>
          <w:szCs w:val="28"/>
          <w:lang w:eastAsia="zh-CN"/>
        </w:rPr>
        <w:t>，乐雅社工品牌项目“乐雅伴我行”麻涌镇弱能老人居家安全防跌项目成功入选第三届全国百优社会工作专业服务案例，</w:t>
      </w:r>
      <w:r>
        <w:rPr>
          <w:rFonts w:hint="eastAsia" w:cs="仿宋_GB2312" w:asciiTheme="minorEastAsia" w:hAnsiTheme="minorEastAsia"/>
          <w:sz w:val="28"/>
          <w:szCs w:val="28"/>
        </w:rPr>
        <w:t>同时</w:t>
      </w:r>
      <w:r>
        <w:rPr>
          <w:rFonts w:hint="eastAsia" w:cs="仿宋_GB2312" w:asciiTheme="minorEastAsia" w:hAnsiTheme="minorEastAsia"/>
          <w:sz w:val="28"/>
          <w:szCs w:val="28"/>
          <w:lang w:eastAsia="zh-CN"/>
        </w:rPr>
        <w:t>，乐雅社工</w:t>
      </w:r>
      <w:r>
        <w:rPr>
          <w:rFonts w:hint="eastAsia" w:cs="仿宋_GB2312" w:asciiTheme="minorEastAsia" w:hAnsiTheme="minorEastAsia"/>
          <w:sz w:val="28"/>
          <w:szCs w:val="28"/>
        </w:rPr>
        <w:t>圆满</w:t>
      </w:r>
      <w:r>
        <w:rPr>
          <w:rFonts w:hint="eastAsia" w:cs="仿宋_GB2312" w:asciiTheme="minorEastAsia" w:hAnsiTheme="minorEastAsia"/>
          <w:sz w:val="28"/>
          <w:szCs w:val="28"/>
          <w:lang w:eastAsia="zh-CN"/>
        </w:rPr>
        <w:t>完成省民政厅</w:t>
      </w:r>
      <w:r>
        <w:rPr>
          <w:rFonts w:hint="eastAsia" w:cs="仿宋_GB2312" w:asciiTheme="minorEastAsia" w:hAnsiTheme="minorEastAsia"/>
          <w:sz w:val="28"/>
          <w:szCs w:val="28"/>
        </w:rPr>
        <w:t>走进汕尾对留守和困境儿童开展“牵手行动”关爱保护工作，东莞市社会组织等级评估</w:t>
      </w:r>
      <w:r>
        <w:rPr>
          <w:rFonts w:hint="eastAsia" w:cs="仿宋_GB2312" w:asciiTheme="minorEastAsia" w:hAnsiTheme="minorEastAsia"/>
          <w:sz w:val="28"/>
          <w:szCs w:val="28"/>
          <w:lang w:eastAsia="zh-CN"/>
        </w:rPr>
        <w:t>工作，东莞市社会工作发展综合评估工作</w:t>
      </w:r>
      <w:r>
        <w:rPr>
          <w:rFonts w:hint="eastAsia" w:cs="仿宋_GB2312" w:asciiTheme="minorEastAsia" w:hAnsiTheme="minorEastAsia"/>
          <w:sz w:val="28"/>
          <w:szCs w:val="28"/>
        </w:rPr>
        <w:t>，所承接的项目均获得合作方及服务对象的普遍认可，各项工作社会影响较广、社会效益较显著。现将相关情况总结如下：</w:t>
      </w:r>
    </w:p>
    <w:p>
      <w:pPr>
        <w:pStyle w:val="3"/>
        <w:spacing w:before="0" w:after="0" w:line="600" w:lineRule="exact"/>
        <w:rPr>
          <w:rFonts w:asciiTheme="minorEastAsia" w:hAnsiTheme="minorEastAsia" w:eastAsiaTheme="minorEastAsia"/>
          <w:sz w:val="32"/>
          <w:szCs w:val="32"/>
        </w:rPr>
      </w:pPr>
      <w:r>
        <w:rPr>
          <w:rFonts w:asciiTheme="minorEastAsia" w:hAnsiTheme="minorEastAsia" w:eastAsiaTheme="minorEastAsia"/>
          <w:sz w:val="32"/>
          <w:szCs w:val="32"/>
        </w:rPr>
        <w:t>一、服务数据</w:t>
      </w:r>
    </w:p>
    <w:p>
      <w:pPr>
        <w:adjustRightInd w:val="0"/>
        <w:snapToGrid w:val="0"/>
        <w:spacing w:line="600" w:lineRule="exact"/>
        <w:ind w:firstLine="560" w:firstLineChars="200"/>
        <w:rPr>
          <w:rFonts w:cs="仿宋_GB2312" w:asciiTheme="minorEastAsia" w:hAnsiTheme="minorEastAsia"/>
          <w:color w:val="auto"/>
          <w:sz w:val="28"/>
          <w:szCs w:val="28"/>
        </w:rPr>
      </w:pPr>
      <w:r>
        <w:rPr>
          <w:rFonts w:cs="仿宋_GB2312" w:asciiTheme="minorEastAsia" w:hAnsiTheme="minorEastAsia"/>
          <w:color w:val="auto"/>
          <w:sz w:val="28"/>
          <w:szCs w:val="28"/>
        </w:rPr>
        <w:t>服务总人次：</w:t>
      </w:r>
      <w:r>
        <w:rPr>
          <w:rFonts w:hint="eastAsia" w:cs="仿宋_GB2312" w:asciiTheme="minorEastAsia" w:hAnsiTheme="minorEastAsia"/>
          <w:color w:val="auto"/>
          <w:sz w:val="28"/>
          <w:szCs w:val="28"/>
        </w:rPr>
        <w:t>114102</w:t>
      </w:r>
      <w:r>
        <w:rPr>
          <w:rFonts w:cs="仿宋_GB2312" w:asciiTheme="minorEastAsia" w:hAnsiTheme="minorEastAsia"/>
          <w:color w:val="auto"/>
          <w:sz w:val="28"/>
          <w:szCs w:val="28"/>
        </w:rPr>
        <w:t>人次</w:t>
      </w:r>
      <w:r>
        <w:rPr>
          <w:rFonts w:hint="eastAsia" w:cs="仿宋_GB2312" w:asciiTheme="minorEastAsia" w:hAnsiTheme="minorEastAsia"/>
          <w:color w:val="auto"/>
          <w:sz w:val="28"/>
          <w:szCs w:val="28"/>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cs="仿宋_GB2312" w:asciiTheme="minorEastAsia" w:hAnsiTheme="minorEastAsia"/>
          <w:color w:val="auto"/>
          <w:sz w:val="28"/>
          <w:szCs w:val="28"/>
        </w:rPr>
        <w:t>新开个案：</w:t>
      </w:r>
      <w:r>
        <w:rPr>
          <w:rFonts w:hint="eastAsia" w:cs="仿宋_GB2312" w:asciiTheme="minorEastAsia" w:hAnsiTheme="minorEastAsia"/>
          <w:color w:val="auto"/>
          <w:sz w:val="28"/>
          <w:szCs w:val="28"/>
        </w:rPr>
        <w:t>559</w:t>
      </w:r>
      <w:r>
        <w:rPr>
          <w:rFonts w:cs="仿宋_GB2312" w:asciiTheme="minorEastAsia" w:hAnsiTheme="minorEastAsia"/>
          <w:color w:val="auto"/>
          <w:sz w:val="28"/>
          <w:szCs w:val="28"/>
        </w:rPr>
        <w:t>个</w:t>
      </w:r>
      <w:r>
        <w:rPr>
          <w:rFonts w:hint="eastAsia" w:cs="仿宋_GB2312" w:asciiTheme="minorEastAsia" w:hAnsiTheme="minorEastAsia"/>
          <w:color w:val="auto"/>
          <w:sz w:val="28"/>
          <w:szCs w:val="28"/>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cs="仿宋_GB2312" w:asciiTheme="minorEastAsia" w:hAnsiTheme="minorEastAsia"/>
          <w:color w:val="auto"/>
          <w:sz w:val="28"/>
          <w:szCs w:val="28"/>
        </w:rPr>
        <w:t>开展小组：</w:t>
      </w:r>
      <w:r>
        <w:rPr>
          <w:rFonts w:hint="eastAsia" w:cs="仿宋_GB2312" w:asciiTheme="minorEastAsia" w:hAnsiTheme="minorEastAsia"/>
          <w:color w:val="auto"/>
          <w:sz w:val="28"/>
          <w:szCs w:val="28"/>
        </w:rPr>
        <w:t>189</w:t>
      </w:r>
      <w:r>
        <w:rPr>
          <w:rFonts w:cs="仿宋_GB2312" w:asciiTheme="minorEastAsia" w:hAnsiTheme="minorEastAsia"/>
          <w:color w:val="auto"/>
          <w:sz w:val="28"/>
          <w:szCs w:val="28"/>
        </w:rPr>
        <w:t xml:space="preserve">个 </w:t>
      </w:r>
      <w:r>
        <w:rPr>
          <w:rFonts w:hint="eastAsia" w:cs="仿宋_GB2312" w:asciiTheme="minorEastAsia" w:hAnsiTheme="minorEastAsia"/>
          <w:color w:val="auto"/>
          <w:sz w:val="28"/>
          <w:szCs w:val="28"/>
        </w:rPr>
        <w:t>699</w:t>
      </w:r>
      <w:r>
        <w:rPr>
          <w:rFonts w:cs="仿宋_GB2312" w:asciiTheme="minorEastAsia" w:hAnsiTheme="minorEastAsia"/>
          <w:color w:val="auto"/>
          <w:sz w:val="28"/>
          <w:szCs w:val="28"/>
        </w:rPr>
        <w:t>节</w:t>
      </w:r>
      <w:r>
        <w:rPr>
          <w:rFonts w:hint="eastAsia" w:cs="仿宋_GB2312" w:asciiTheme="minorEastAsia" w:hAnsiTheme="minorEastAsia"/>
          <w:color w:val="auto"/>
          <w:sz w:val="28"/>
          <w:szCs w:val="28"/>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cs="仿宋_GB2312" w:asciiTheme="minorEastAsia" w:hAnsiTheme="minorEastAsia"/>
          <w:color w:val="auto"/>
          <w:sz w:val="28"/>
          <w:szCs w:val="28"/>
        </w:rPr>
        <w:t>举办活动：</w:t>
      </w:r>
      <w:r>
        <w:rPr>
          <w:rFonts w:hint="eastAsia" w:cs="仿宋_GB2312" w:asciiTheme="minorEastAsia" w:hAnsiTheme="minorEastAsia"/>
          <w:color w:val="auto"/>
          <w:sz w:val="28"/>
          <w:szCs w:val="28"/>
        </w:rPr>
        <w:t>1204</w:t>
      </w:r>
      <w:r>
        <w:rPr>
          <w:rFonts w:cs="仿宋_GB2312" w:asciiTheme="minorEastAsia" w:hAnsiTheme="minorEastAsia"/>
          <w:color w:val="auto"/>
          <w:sz w:val="28"/>
          <w:szCs w:val="28"/>
        </w:rPr>
        <w:t>个</w:t>
      </w:r>
      <w:r>
        <w:rPr>
          <w:rFonts w:hint="eastAsia" w:cs="仿宋_GB2312" w:asciiTheme="minorEastAsia" w:hAnsiTheme="minorEastAsia"/>
          <w:color w:val="auto"/>
          <w:sz w:val="28"/>
          <w:szCs w:val="28"/>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即时</w:t>
      </w:r>
      <w:r>
        <w:rPr>
          <w:rFonts w:cs="仿宋_GB2312" w:asciiTheme="minorEastAsia" w:hAnsiTheme="minorEastAsia"/>
          <w:color w:val="auto"/>
          <w:sz w:val="28"/>
          <w:szCs w:val="28"/>
        </w:rPr>
        <w:t>辅导：</w:t>
      </w:r>
      <w:r>
        <w:rPr>
          <w:rFonts w:hint="eastAsia" w:cs="仿宋_GB2312" w:asciiTheme="minorEastAsia" w:hAnsiTheme="minorEastAsia"/>
          <w:color w:val="auto"/>
          <w:sz w:val="28"/>
          <w:szCs w:val="28"/>
        </w:rPr>
        <w:t>5132</w:t>
      </w:r>
      <w:r>
        <w:rPr>
          <w:rFonts w:cs="仿宋_GB2312" w:asciiTheme="minorEastAsia" w:hAnsiTheme="minorEastAsia"/>
          <w:color w:val="auto"/>
          <w:sz w:val="28"/>
          <w:szCs w:val="28"/>
        </w:rPr>
        <w:t>人次</w:t>
      </w:r>
      <w:r>
        <w:rPr>
          <w:rFonts w:hint="eastAsia" w:cs="仿宋_GB2312" w:asciiTheme="minorEastAsia" w:hAnsiTheme="minorEastAsia"/>
          <w:color w:val="auto"/>
          <w:sz w:val="28"/>
          <w:szCs w:val="28"/>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建档</w:t>
      </w:r>
      <w:r>
        <w:rPr>
          <w:rFonts w:cs="仿宋_GB2312" w:asciiTheme="minorEastAsia" w:hAnsiTheme="minorEastAsia"/>
          <w:color w:val="auto"/>
          <w:sz w:val="28"/>
          <w:szCs w:val="28"/>
        </w:rPr>
        <w:t>及家访：</w:t>
      </w:r>
      <w:r>
        <w:rPr>
          <w:rFonts w:hint="eastAsia" w:cs="仿宋_GB2312" w:asciiTheme="minorEastAsia" w:hAnsiTheme="minorEastAsia"/>
          <w:color w:val="auto"/>
          <w:sz w:val="28"/>
          <w:szCs w:val="28"/>
        </w:rPr>
        <w:t>16984</w:t>
      </w:r>
      <w:r>
        <w:rPr>
          <w:rFonts w:cs="仿宋_GB2312" w:asciiTheme="minorEastAsia" w:hAnsiTheme="minorEastAsia"/>
          <w:color w:val="auto"/>
          <w:sz w:val="28"/>
          <w:szCs w:val="28"/>
        </w:rPr>
        <w:t>人次</w:t>
      </w:r>
      <w:r>
        <w:rPr>
          <w:rFonts w:hint="eastAsia" w:cs="仿宋_GB2312" w:asciiTheme="minorEastAsia" w:hAnsiTheme="minorEastAsia"/>
          <w:color w:val="auto"/>
          <w:sz w:val="28"/>
          <w:szCs w:val="28"/>
        </w:rPr>
        <w:t>。</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二、人资情况</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乐雅社工现有员工186人（其中中共党员10人、硕士研究生3人、中级社工师17人、助理社工师50人，康复师1名，职训师1名，健康促进员0名）。在一线社工中，持证社工共65人，中级社工师共17人，助理社工师48人。</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三、机构党建</w:t>
      </w:r>
    </w:p>
    <w:p>
      <w:pPr>
        <w:adjustRightInd w:val="0"/>
        <w:snapToGrid w:val="0"/>
        <w:spacing w:line="600" w:lineRule="exact"/>
        <w:ind w:firstLine="560" w:firstLineChars="200"/>
        <w:rPr>
          <w:rFonts w:cs="仿宋_GB2312" w:asciiTheme="minorEastAsia" w:hAnsiTheme="minorEastAsia"/>
          <w:sz w:val="28"/>
          <w:szCs w:val="28"/>
        </w:rPr>
      </w:pPr>
      <w:r>
        <w:rPr>
          <w:rFonts w:hint="eastAsia" w:cs="仿宋_GB2312" w:asciiTheme="minorEastAsia" w:hAnsiTheme="minorEastAsia"/>
          <w:color w:val="auto"/>
          <w:sz w:val="28"/>
          <w:szCs w:val="28"/>
        </w:rPr>
        <w:t>中共东莞乐雅社会工作服务中心支部委员会于2011年1月成立。 支部现有党员11名（预备党员1名，含流动党员），设有书记1名，委员2名。</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四、获奖情况</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2021年，乐雅社工获得国家级荣誉/资质1项（萧广成-第三届（2020）全国百优社会工作专业案例）、省级荣誉/资质0项、市级荣誉/资质2项（谭丽婷-军休所2021年优秀社会工作者、水南社综-“以愛为盟·微笑公益”创益支持计划项目资助）、其他镇街类若干项。</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五、刊物发表</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2021年东莞乐雅社工发表在《个案工作案例集》等省级刊物共6篇。（1.陈笑英-中国医务社工公众号发表《助力医疗争议维权》20210422；2.谢坤-《法制与社会》发表《医务社工协调医患关系的实践途径-基于社会冲突理论的视角》；3.覃雪丹-《医务社会工作实务与案例》发表《急诊的危机介入》；4.李慧-《医务社会工作实务与案例》发表《三无患者捐助与安置》；5.李慧-《中国社会工作杂志》发表《社会工作介入“三无”病人救助的个案管理模式探索——以东莞市人民医院为例》6.吴柔青-《女人坊 新时代教育》发表《流动儿童家庭教育问题分析与策略探索》）</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六、媒体报道</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2021年，东莞乐雅社工获外部媒体如：羊城晚报、东莞日报、广州日报等媒体报道共计76篇。其中国家级：1篇；省级：33篇，市镇级：42篇。</w:t>
      </w:r>
    </w:p>
    <w:p>
      <w:pPr>
        <w:pStyle w:val="3"/>
        <w:spacing w:before="0" w:after="0" w:line="600" w:lineRule="exact"/>
        <w:rPr>
          <w:rFonts w:asciiTheme="minorEastAsia" w:hAnsiTheme="minorEastAsia" w:eastAsiaTheme="minorEastAsia"/>
          <w:sz w:val="32"/>
          <w:szCs w:val="32"/>
        </w:rPr>
      </w:pPr>
      <w:bookmarkStart w:id="1" w:name="_Toc2634"/>
    </w:p>
    <w:p>
      <w:pPr>
        <w:numPr>
          <w:ilvl w:val="0"/>
          <w:numId w:val="1"/>
        </w:numPr>
        <w:jc w:val="center"/>
        <w:rPr>
          <w:rFonts w:asciiTheme="minorEastAsia" w:hAnsiTheme="minorEastAsia"/>
          <w:b/>
          <w:bCs/>
          <w:kern w:val="44"/>
          <w:sz w:val="32"/>
          <w:szCs w:val="32"/>
        </w:rPr>
      </w:pPr>
      <w:r>
        <w:rPr>
          <w:rFonts w:hint="eastAsia" w:asciiTheme="minorEastAsia" w:hAnsiTheme="minorEastAsia"/>
          <w:b/>
          <w:bCs/>
          <w:kern w:val="44"/>
          <w:sz w:val="32"/>
          <w:szCs w:val="32"/>
        </w:rPr>
        <w:t>防疫抗疫情况</w:t>
      </w:r>
    </w:p>
    <w:p>
      <w:pPr>
        <w:ind w:firstLine="840" w:firstLineChars="300"/>
        <w:rPr>
          <w:color w:val="auto"/>
        </w:rPr>
      </w:pPr>
      <w:r>
        <w:rPr>
          <w:rFonts w:hint="eastAsia"/>
          <w:color w:val="auto"/>
          <w:sz w:val="28"/>
          <w:szCs w:val="28"/>
        </w:rPr>
        <w:t>2021年，疫情期间为困难人群、低保户、高龄长者及其他社区居民提供服务</w:t>
      </w:r>
      <w:r>
        <w:rPr>
          <w:rFonts w:hint="eastAsia" w:cs="仿宋_GB2312" w:asciiTheme="minorEastAsia" w:hAnsiTheme="minorEastAsia"/>
          <w:color w:val="auto"/>
          <w:sz w:val="28"/>
          <w:szCs w:val="28"/>
        </w:rPr>
        <w:t>3357</w:t>
      </w:r>
      <w:r>
        <w:rPr>
          <w:rFonts w:hint="eastAsia"/>
          <w:color w:val="auto"/>
          <w:sz w:val="28"/>
          <w:szCs w:val="28"/>
        </w:rPr>
        <w:t>人次，排查返莞人员</w:t>
      </w:r>
      <w:r>
        <w:rPr>
          <w:rFonts w:hint="eastAsia" w:cs="仿宋_GB2312" w:asciiTheme="minorEastAsia" w:hAnsiTheme="minorEastAsia"/>
          <w:color w:val="auto"/>
          <w:sz w:val="28"/>
          <w:szCs w:val="28"/>
        </w:rPr>
        <w:t>3000</w:t>
      </w:r>
      <w:r>
        <w:rPr>
          <w:rFonts w:hint="eastAsia"/>
          <w:color w:val="auto"/>
          <w:sz w:val="28"/>
          <w:szCs w:val="28"/>
        </w:rPr>
        <w:t>名，开展心理辅导服务</w:t>
      </w:r>
      <w:r>
        <w:rPr>
          <w:rFonts w:hint="eastAsia" w:cs="仿宋_GB2312" w:asciiTheme="minorEastAsia" w:hAnsiTheme="minorEastAsia"/>
          <w:color w:val="auto"/>
          <w:sz w:val="28"/>
          <w:szCs w:val="28"/>
        </w:rPr>
        <w:t>462</w:t>
      </w:r>
      <w:r>
        <w:rPr>
          <w:rFonts w:hint="eastAsia"/>
          <w:color w:val="auto"/>
          <w:sz w:val="28"/>
          <w:szCs w:val="28"/>
        </w:rPr>
        <w:t>次，发布防疫政策</w:t>
      </w:r>
      <w:r>
        <w:rPr>
          <w:rFonts w:hint="eastAsia" w:cs="仿宋_GB2312" w:asciiTheme="minorEastAsia" w:hAnsiTheme="minorEastAsia"/>
          <w:color w:val="auto"/>
          <w:sz w:val="28"/>
          <w:szCs w:val="28"/>
        </w:rPr>
        <w:t>588</w:t>
      </w:r>
      <w:r>
        <w:rPr>
          <w:rFonts w:hint="eastAsia"/>
          <w:color w:val="auto"/>
          <w:sz w:val="28"/>
          <w:szCs w:val="28"/>
        </w:rPr>
        <w:t>条，发布防疫宣传知识</w:t>
      </w:r>
      <w:r>
        <w:rPr>
          <w:rFonts w:hint="eastAsia" w:cs="仿宋_GB2312" w:asciiTheme="minorEastAsia" w:hAnsiTheme="minorEastAsia"/>
          <w:color w:val="auto"/>
          <w:sz w:val="28"/>
          <w:szCs w:val="28"/>
        </w:rPr>
        <w:t>3278</w:t>
      </w:r>
      <w:r>
        <w:rPr>
          <w:rFonts w:hint="eastAsia"/>
          <w:color w:val="auto"/>
          <w:sz w:val="28"/>
          <w:szCs w:val="28"/>
        </w:rPr>
        <w:t>条，发动党员社工参与一线抗疫服务</w:t>
      </w:r>
      <w:r>
        <w:rPr>
          <w:rFonts w:hint="eastAsia" w:cs="仿宋_GB2312" w:asciiTheme="minorEastAsia" w:hAnsiTheme="minorEastAsia"/>
          <w:color w:val="auto"/>
          <w:sz w:val="28"/>
          <w:szCs w:val="28"/>
        </w:rPr>
        <w:t>648</w:t>
      </w:r>
      <w:r>
        <w:rPr>
          <w:rFonts w:hint="eastAsia"/>
          <w:color w:val="auto"/>
          <w:sz w:val="28"/>
          <w:szCs w:val="28"/>
        </w:rPr>
        <w:t>人次，送出口罩约</w:t>
      </w:r>
      <w:r>
        <w:rPr>
          <w:rFonts w:hint="eastAsia" w:cs="仿宋_GB2312" w:asciiTheme="minorEastAsia" w:hAnsiTheme="minorEastAsia"/>
          <w:color w:val="auto"/>
          <w:sz w:val="28"/>
          <w:szCs w:val="28"/>
        </w:rPr>
        <w:t>21906</w:t>
      </w:r>
      <w:r>
        <w:rPr>
          <w:rFonts w:hint="eastAsia"/>
          <w:color w:val="auto"/>
          <w:sz w:val="28"/>
          <w:szCs w:val="28"/>
        </w:rPr>
        <w:t>个，酒精、洗手液、手套等防疫用品</w:t>
      </w:r>
      <w:r>
        <w:rPr>
          <w:rFonts w:hint="eastAsia" w:cs="仿宋_GB2312" w:asciiTheme="minorEastAsia" w:hAnsiTheme="minorEastAsia"/>
          <w:color w:val="auto"/>
          <w:sz w:val="28"/>
          <w:szCs w:val="28"/>
        </w:rPr>
        <w:t>2122</w:t>
      </w:r>
      <w:r>
        <w:rPr>
          <w:rFonts w:hint="eastAsia"/>
          <w:color w:val="auto"/>
          <w:sz w:val="28"/>
          <w:szCs w:val="28"/>
        </w:rPr>
        <w:t>多件，协助社区发放约</w:t>
      </w:r>
      <w:r>
        <w:rPr>
          <w:rFonts w:hint="eastAsia" w:cs="仿宋_GB2312" w:asciiTheme="minorEastAsia" w:hAnsiTheme="minorEastAsia"/>
          <w:color w:val="auto"/>
          <w:sz w:val="28"/>
          <w:szCs w:val="28"/>
        </w:rPr>
        <w:t>122</w:t>
      </w:r>
      <w:r>
        <w:rPr>
          <w:rFonts w:hint="eastAsia"/>
          <w:color w:val="auto"/>
          <w:sz w:val="28"/>
          <w:szCs w:val="28"/>
        </w:rPr>
        <w:t>批次生活物资。</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八、2021年年度工作计划执行情况</w:t>
      </w:r>
      <w:bookmarkEnd w:id="1"/>
    </w:p>
    <w:tbl>
      <w:tblPr>
        <w:tblStyle w:val="12"/>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099"/>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66"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2099"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具体目标</w:t>
            </w:r>
          </w:p>
        </w:tc>
        <w:tc>
          <w:tcPr>
            <w:tcW w:w="6154" w:type="dxa"/>
            <w:vAlign w:val="center"/>
          </w:tcPr>
          <w:p>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099"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强化党建工作</w:t>
            </w:r>
          </w:p>
        </w:tc>
        <w:tc>
          <w:tcPr>
            <w:tcW w:w="615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完成党建工作“工青妇组织”创建工作。2021年11月18日，东莞市乐雅社会工作服务中心妇女联合会第一次妇女代表大会隆重召开，选举产生第一届主席1名林云、副主席2名吴柔青和钟静华、执委会执委15名；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按照局党委工作部署，有序培育党员、预备党员、积极分子。按照党委工作部署，有序培育党员、预备党员、积极分子，2021年发展谭婉霞、陈玉怡为党员，发展赖慧珊为预备党员，发展覃雪丹、曾喜旋、钟志斌、吴敏慈、殷秀霞、曾逸莹、严国浪、陈丽丹、周晓彤、黄赛君、曾子恩为积极分子或培养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lang w:eastAsia="zh-CN"/>
              </w:rPr>
              <w:t>积极加入</w:t>
            </w:r>
            <w:r>
              <w:rPr>
                <w:rFonts w:hint="eastAsia" w:asciiTheme="minorEastAsia" w:hAnsiTheme="minorEastAsia" w:cstheme="minorEastAsia"/>
                <w:bCs/>
                <w:color w:val="auto"/>
                <w:sz w:val="24"/>
                <w:szCs w:val="24"/>
                <w:highlight w:val="none"/>
                <w:lang w:eastAsia="zh-CN"/>
              </w:rPr>
              <w:t>东莞社会组织总会；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w:t>
            </w:r>
            <w:r>
              <w:rPr>
                <w:rFonts w:hint="eastAsia" w:asciiTheme="minorEastAsia" w:hAnsiTheme="minorEastAsia" w:eastAsiaTheme="minorEastAsia" w:cstheme="minorEastAsia"/>
                <w:sz w:val="24"/>
                <w:szCs w:val="24"/>
                <w:lang w:eastAsia="zh-CN"/>
              </w:rPr>
              <w:t>乡村振兴</w:t>
            </w:r>
            <w:r>
              <w:rPr>
                <w:rFonts w:hint="eastAsia" w:asciiTheme="minorEastAsia" w:hAnsiTheme="minorEastAsia" w:eastAsiaTheme="minorEastAsia" w:cstheme="minorEastAsia"/>
                <w:sz w:val="24"/>
                <w:szCs w:val="24"/>
              </w:rPr>
              <w:t>工作</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bCs/>
                <w:color w:val="auto"/>
                <w:sz w:val="24"/>
                <w:szCs w:val="24"/>
                <w:highlight w:val="none"/>
              </w:rPr>
              <w:t>圆满</w:t>
            </w:r>
            <w:r>
              <w:rPr>
                <w:rFonts w:hint="eastAsia" w:asciiTheme="minorEastAsia" w:hAnsiTheme="minorEastAsia" w:cstheme="minorEastAsia"/>
                <w:bCs/>
                <w:color w:val="auto"/>
                <w:sz w:val="24"/>
                <w:szCs w:val="24"/>
                <w:highlight w:val="none"/>
                <w:lang w:eastAsia="zh-CN"/>
              </w:rPr>
              <w:t>完成省民政厅</w:t>
            </w:r>
            <w:r>
              <w:rPr>
                <w:rFonts w:hint="eastAsia" w:asciiTheme="minorEastAsia" w:hAnsiTheme="minorEastAsia" w:cstheme="minorEastAsia"/>
                <w:bCs/>
                <w:color w:val="auto"/>
                <w:sz w:val="24"/>
                <w:szCs w:val="24"/>
                <w:highlight w:val="none"/>
                <w:lang w:val="en-US" w:eastAsia="zh-CN"/>
              </w:rPr>
              <w:t>2021年</w:t>
            </w:r>
            <w:r>
              <w:rPr>
                <w:rFonts w:hint="eastAsia" w:asciiTheme="minorEastAsia" w:hAnsiTheme="minorEastAsia" w:cstheme="minorEastAsia"/>
                <w:bCs/>
                <w:color w:val="auto"/>
                <w:sz w:val="24"/>
                <w:szCs w:val="24"/>
                <w:highlight w:val="none"/>
              </w:rPr>
              <w:t>走进汕尾对留守</w:t>
            </w:r>
            <w:r>
              <w:rPr>
                <w:rFonts w:asciiTheme="minorEastAsia" w:hAnsiTheme="minorEastAsia" w:cstheme="minorEastAsia"/>
                <w:bCs/>
                <w:color w:val="auto"/>
                <w:sz w:val="24"/>
                <w:szCs w:val="24"/>
                <w:highlight w:val="none"/>
              </w:rPr>
              <w:t>和困境儿童开展“牵手行动”关爱保护</w:t>
            </w:r>
            <w:r>
              <w:rPr>
                <w:rFonts w:hint="eastAsia" w:asciiTheme="minorEastAsia" w:hAnsiTheme="minorEastAsia" w:cstheme="minorEastAsia"/>
                <w:bCs/>
                <w:color w:val="auto"/>
                <w:sz w:val="24"/>
                <w:szCs w:val="24"/>
                <w:highlight w:val="none"/>
              </w:rPr>
              <w:t>工作</w:t>
            </w:r>
            <w:r>
              <w:rPr>
                <w:rFonts w:hint="eastAsia" w:asciiTheme="minorEastAsia" w:hAnsiTheme="minorEastAsia" w:cstheme="minorEastAsia"/>
                <w:bCs/>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099" w:type="dxa"/>
            <w:vAlign w:val="center"/>
          </w:tcPr>
          <w:p>
            <w:pPr>
              <w:jc w:val="center"/>
              <w:rPr>
                <w:rFonts w:hint="eastAsia" w:asciiTheme="minorEastAsia" w:hAnsiTheme="minorEastAsia" w:eastAsiaTheme="minorEastAsia" w:cstheme="minorEastAsia"/>
                <w:sz w:val="24"/>
                <w:szCs w:val="24"/>
                <w:highlight w:val="yellow"/>
                <w:lang w:eastAsia="zh-CN"/>
              </w:rPr>
            </w:pPr>
            <w:r>
              <w:rPr>
                <w:rFonts w:hint="eastAsia" w:asciiTheme="minorEastAsia" w:hAnsiTheme="minorEastAsia" w:eastAsiaTheme="minorEastAsia" w:cstheme="minorEastAsia"/>
                <w:sz w:val="24"/>
                <w:szCs w:val="24"/>
              </w:rPr>
              <w:t>完善人员晋升机制</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2021年，项目部按照员工晋升机制，对社工考核、机构人才选拔、中层任命制度、工资福利晋级等方面予以优化，责任分级考核管理，落实专业培养责任，把关考核质量，跟进考核改善制度等进行了有效落实，2021年，项目部接近10名社区助理晋升社工，2名社工晋升中心副主任，1名社工晋升中心主任，各晋升同工适应良好，工作表现优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FF0000"/>
                <w:sz w:val="24"/>
                <w:szCs w:val="24"/>
                <w:highlight w:val="yellow"/>
              </w:rPr>
            </w:pPr>
            <w:r>
              <w:rPr>
                <w:rFonts w:hint="eastAsia" w:asciiTheme="minorEastAsia" w:hAnsiTheme="minorEastAsia" w:eastAsiaTheme="minorEastAsia" w:cstheme="minorEastAsia"/>
                <w:color w:val="000000"/>
                <w:sz w:val="24"/>
                <w:szCs w:val="24"/>
              </w:rPr>
              <w:t>2021年鉴于岗位调整，服务部重新进行人员分工调整，保障各部门中层管理工作有序进行。2021年，服务部共晋升2名一线社工担任樟木头组、松山湖中心医院组长。晋升后，服务部持续跟进同工适应情况，整体表现良好，工作表现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加强机构内部管理</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eastAsia="zh-CN"/>
              </w:rPr>
              <w:t>强化驻点工作汇报机制；制定机构季度考核方案并初步实施。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加强服务监管</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2021年，项目部不断完善和加强服务监测的落实，及时跟进项目服务发展执行情况，及时做出跟进和改善，有效监测项目运营。具体如下：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月监测方面：1）通过月服务预告和月服务职情况总结，有效监管各驻点每月服务落实情况；2）通过实地走访，参与驻点例会，及时了解和跟进服务进展；3）通过各驻点周例会会议记录的搜集和查看，了解各阶段服务和团队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2、季度监测：项目部通过季度服务开展情况的搜集，及时了解各驻点各驻点项目推进进度和服务成效。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3、半年和年度监测：项目部通过半年和年度服务开展情况的搜集及开展工作汇报的形式，有效监测和了解各驻点项目执行情况，促进团队间经验交流。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2099"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进一步做好评估工作</w:t>
            </w:r>
            <w:bookmarkStart w:id="2" w:name="_GoBack"/>
            <w:bookmarkEnd w:id="2"/>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项目部分别参与了社区综合服务中心评估与残疾人康复就业中心评估，经第三方的综合考评，项目部四甲中心、堑头中心、司马中心、金美中心、水南中心、袁山贝中心、铁松中心、黎村中心、三联中心通过了“以奖代补评估”，获得良好成绩；同时，东坑镇残疾人康复就业服务中心在半年评估考核中成绩为83.6分，获得良好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8月，服务部东莞市卫健局、东莞市民政局、东莞市退役军人事务局、东莞市总工会接受第三方评估，评估结果显示，整体评价较高，较好的完成了服务合同内容。其中，大朗先锋号职工服务中心、万江先锋号职工服务中心、高埗先锋号职工服务中心、樟木头先锋号职工服务中心、道滘先锋号职工服务中心、东莞市救助管理站、滨海湾中心医院、松山湖中心医院、东莞市卫健局医政科、东莞市医学会医疗事故技术鉴定工作中心得分均超过80分，评估等级达良好。东莞市军休所得分92.3分、东莞市人民医院得分96.5分，评估等级达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2099"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加大与高校宣讲与资源对接</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color w:val="FF0000"/>
                <w:sz w:val="24"/>
                <w:szCs w:val="24"/>
                <w:highlight w:val="yellow"/>
                <w:lang w:eastAsia="zh-CN"/>
              </w:rPr>
            </w:pPr>
            <w:r>
              <w:rPr>
                <w:rFonts w:hint="eastAsia" w:asciiTheme="minorEastAsia" w:hAnsiTheme="minorEastAsia" w:cstheme="minorEastAsia"/>
                <w:sz w:val="24"/>
                <w:szCs w:val="24"/>
                <w:highlight w:val="none"/>
                <w:lang w:eastAsia="zh-CN"/>
              </w:rPr>
              <w:t>积极对接东莞理工学院、城市学院、广东医科大学、广东财经大学、惠州城市学院等开展学生实践工作及校园招聘工作。共参加线上线下招聘</w:t>
            </w:r>
            <w:r>
              <w:rPr>
                <w:rFonts w:hint="eastAsia" w:asciiTheme="minorEastAsia" w:hAnsiTheme="minorEastAsia" w:cstheme="minorEastAsia"/>
                <w:sz w:val="24"/>
                <w:szCs w:val="24"/>
                <w:highlight w:val="none"/>
                <w:lang w:val="en-US" w:eastAsia="zh-CN"/>
              </w:rPr>
              <w:t>8次</w:t>
            </w:r>
            <w:r>
              <w:rPr>
                <w:rFonts w:hint="eastAsia" w:asciiTheme="minorEastAsia" w:hAnsiTheme="minorEastAsia" w:cstheme="minorEastAsia"/>
                <w:sz w:val="24"/>
                <w:szCs w:val="24"/>
                <w:highlight w:val="none"/>
                <w:lang w:eastAsia="zh-CN"/>
              </w:rPr>
              <w:t>，招聘人数达</w:t>
            </w:r>
            <w:r>
              <w:rPr>
                <w:rFonts w:hint="eastAsia" w:asciiTheme="minorEastAsia" w:hAnsiTheme="minorEastAsia" w:cstheme="minorEastAsia"/>
                <w:sz w:val="24"/>
                <w:szCs w:val="24"/>
                <w:highlight w:val="none"/>
                <w:lang w:val="en-US" w:eastAsia="zh-CN"/>
              </w:rPr>
              <w:t>50</w:t>
            </w:r>
            <w:r>
              <w:rPr>
                <w:rFonts w:hint="eastAsia" w:asciiTheme="minorEastAsia" w:hAnsiTheme="minorEastAsia" w:cstheme="minorEastAsia"/>
                <w:sz w:val="24"/>
                <w:szCs w:val="24"/>
                <w:highlight w:val="none"/>
                <w:lang w:eastAsia="zh-CN"/>
              </w:rPr>
              <w:t>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进一步加强人员培训</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cstheme="minorEastAsia"/>
                <w:sz w:val="24"/>
                <w:szCs w:val="24"/>
                <w:highlight w:val="yellow"/>
                <w:lang w:val="en-US" w:eastAsia="zh-CN"/>
              </w:rPr>
            </w:pPr>
            <w:r>
              <w:rPr>
                <w:rFonts w:hint="eastAsia" w:asciiTheme="minorEastAsia" w:hAnsiTheme="minorEastAsia" w:cstheme="minorEastAsia"/>
                <w:sz w:val="24"/>
                <w:szCs w:val="24"/>
                <w:highlight w:val="none"/>
                <w:lang w:val="en-US" w:eastAsia="zh-CN"/>
              </w:rPr>
              <w:t>2021年机构组织督导人员、外聘专家开展专业培训，共计25场培训，培训整体的效果评价表示十分满意。在经过培训后，大部分的机构受访人员表示在社会工作专业实务能力，理论研究能力，行政能力和心理素质方面均得到改善，后续将参与项目策划的培训，其次加大对于项目管理和项目评估的培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8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加大服务输出与行业交流力度</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2021年机构组织杨义尚、杜广樑、叶健锋、陈玉怡等中层人员参与线上中国慈展会。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sz w:val="20"/>
                <w:szCs w:val="21"/>
                <w:lang w:val="en-US" w:eastAsia="zh-CN"/>
              </w:rPr>
            </w:pPr>
            <w:r>
              <w:rPr>
                <w:rFonts w:hint="eastAsia" w:asciiTheme="minorEastAsia" w:hAnsiTheme="minorEastAsia" w:cstheme="minorEastAsia"/>
                <w:sz w:val="24"/>
                <w:szCs w:val="24"/>
                <w:highlight w:val="none"/>
                <w:lang w:val="en-US" w:eastAsia="zh-CN"/>
              </w:rPr>
              <w:t>机构督导覃雪丹被邀请广东医科大学授课。年内积极与相关部门合作。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86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w:t>
            </w:r>
          </w:p>
        </w:tc>
        <w:tc>
          <w:tcPr>
            <w:tcW w:w="209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提升项目拓展能力</w:t>
            </w:r>
          </w:p>
        </w:tc>
        <w:tc>
          <w:tcPr>
            <w:tcW w:w="615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eastAsiaTheme="minorEastAsia" w:cstheme="minorEastAsia"/>
                <w:color w:val="FF0000"/>
                <w:sz w:val="24"/>
                <w:szCs w:val="24"/>
                <w:lang w:val="en-US" w:eastAsia="zh-CN"/>
              </w:rPr>
            </w:pPr>
            <w:r>
              <w:rPr>
                <w:rFonts w:hint="eastAsia" w:asciiTheme="minorEastAsia" w:hAnsiTheme="minorEastAsia" w:cstheme="minorEastAsia"/>
                <w:sz w:val="24"/>
                <w:szCs w:val="24"/>
                <w:highlight w:val="none"/>
                <w:lang w:val="en-US" w:eastAsia="zh-CN"/>
              </w:rPr>
              <w:t>东城堑头社综、清溪铁松社综、麻涌岗位社工等分获“民生微实事”项目支持；石碣水南社综获“以爱为盟·微笑公益”创益支持计划支持；东城峡口社综、麻涌岗位社工获东莞市慈善会第二届慈善公益项目支持。</w:t>
            </w:r>
          </w:p>
        </w:tc>
      </w:tr>
    </w:tbl>
    <w:p>
      <w:pPr>
        <w:adjustRightInd w:val="0"/>
        <w:snapToGrid w:val="0"/>
        <w:spacing w:line="600" w:lineRule="exact"/>
        <w:ind w:firstLine="562" w:firstLineChars="200"/>
        <w:jc w:val="left"/>
        <w:rPr>
          <w:rFonts w:cs="仿宋_GB2312" w:asciiTheme="minorEastAsia" w:hAnsiTheme="minorEastAsia"/>
          <w:b/>
          <w:sz w:val="28"/>
          <w:szCs w:val="28"/>
        </w:rPr>
      </w:pPr>
    </w:p>
    <w:p>
      <w:pPr>
        <w:pStyle w:val="2"/>
        <w:rPr>
          <w:rFonts w:cs="仿宋_GB2312" w:asciiTheme="minorEastAsia" w:hAnsiTheme="minorEastAsia"/>
          <w:b/>
          <w:sz w:val="28"/>
          <w:szCs w:val="28"/>
        </w:rPr>
      </w:pPr>
    </w:p>
    <w:p>
      <w:pPr>
        <w:rPr>
          <w:rFonts w:cs="仿宋_GB2312" w:asciiTheme="minorEastAsia" w:hAnsiTheme="minorEastAsia"/>
          <w:b/>
          <w:sz w:val="28"/>
          <w:szCs w:val="28"/>
        </w:rPr>
      </w:pPr>
    </w:p>
    <w:p>
      <w:pPr>
        <w:pStyle w:val="2"/>
        <w:rPr>
          <w:rFonts w:cs="仿宋_GB2312" w:asciiTheme="minorEastAsia" w:hAnsiTheme="minorEastAsia"/>
          <w:b/>
          <w:sz w:val="28"/>
          <w:szCs w:val="28"/>
        </w:rPr>
      </w:pPr>
    </w:p>
    <w:p>
      <w:pPr>
        <w:rPr>
          <w:rFonts w:hint="default"/>
          <w:lang w:val="en-US" w:eastAsia="zh-CN"/>
        </w:rPr>
      </w:pPr>
    </w:p>
    <w:sectPr>
      <w:footerReference r:id="rId3" w:type="default"/>
      <w:footerReference r:id="rId4" w:type="even"/>
      <w:pgSz w:w="11906" w:h="16838"/>
      <w:pgMar w:top="1091" w:right="1800" w:bottom="10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4B408"/>
    <w:multiLevelType w:val="singleLevel"/>
    <w:tmpl w:val="61A4B40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5YzYxOGNhZmFmMWE2NjJlNzEzMjQ4YWJjMGI2NTMifQ=="/>
  </w:docVars>
  <w:rsids>
    <w:rsidRoot w:val="00172A27"/>
    <w:rsid w:val="000114BF"/>
    <w:rsid w:val="00016B7D"/>
    <w:rsid w:val="000327E2"/>
    <w:rsid w:val="00057240"/>
    <w:rsid w:val="000A50B0"/>
    <w:rsid w:val="000D45FB"/>
    <w:rsid w:val="000E3259"/>
    <w:rsid w:val="00155A83"/>
    <w:rsid w:val="00172A27"/>
    <w:rsid w:val="001B34AB"/>
    <w:rsid w:val="001F62F2"/>
    <w:rsid w:val="00204826"/>
    <w:rsid w:val="002351DB"/>
    <w:rsid w:val="002B32EF"/>
    <w:rsid w:val="002B6288"/>
    <w:rsid w:val="002E6458"/>
    <w:rsid w:val="00346B7A"/>
    <w:rsid w:val="00350B74"/>
    <w:rsid w:val="003A17DA"/>
    <w:rsid w:val="003A5087"/>
    <w:rsid w:val="003E0912"/>
    <w:rsid w:val="00470809"/>
    <w:rsid w:val="00521BCB"/>
    <w:rsid w:val="00534F20"/>
    <w:rsid w:val="00563C85"/>
    <w:rsid w:val="005C297D"/>
    <w:rsid w:val="005C33ED"/>
    <w:rsid w:val="005C7496"/>
    <w:rsid w:val="005E42E3"/>
    <w:rsid w:val="005F00BF"/>
    <w:rsid w:val="00615958"/>
    <w:rsid w:val="00643CD3"/>
    <w:rsid w:val="00645A0D"/>
    <w:rsid w:val="00652422"/>
    <w:rsid w:val="00652626"/>
    <w:rsid w:val="006810BD"/>
    <w:rsid w:val="006B5CA9"/>
    <w:rsid w:val="00797230"/>
    <w:rsid w:val="007D36EC"/>
    <w:rsid w:val="007E2D6D"/>
    <w:rsid w:val="00814CE1"/>
    <w:rsid w:val="00833EF7"/>
    <w:rsid w:val="00865A26"/>
    <w:rsid w:val="008855C3"/>
    <w:rsid w:val="00913D1C"/>
    <w:rsid w:val="00945C52"/>
    <w:rsid w:val="009F553A"/>
    <w:rsid w:val="00A064EB"/>
    <w:rsid w:val="00AE4127"/>
    <w:rsid w:val="00AF27F5"/>
    <w:rsid w:val="00B10742"/>
    <w:rsid w:val="00B449E8"/>
    <w:rsid w:val="00BA5A8F"/>
    <w:rsid w:val="00BD3D1F"/>
    <w:rsid w:val="00BD7BA1"/>
    <w:rsid w:val="00BE62AC"/>
    <w:rsid w:val="00C92BEF"/>
    <w:rsid w:val="00CA7FC8"/>
    <w:rsid w:val="00D35220"/>
    <w:rsid w:val="00DA4723"/>
    <w:rsid w:val="00DA6C1B"/>
    <w:rsid w:val="00DF1526"/>
    <w:rsid w:val="00E21852"/>
    <w:rsid w:val="00E3258C"/>
    <w:rsid w:val="00E3317E"/>
    <w:rsid w:val="00E40283"/>
    <w:rsid w:val="00E67B06"/>
    <w:rsid w:val="00E75AD7"/>
    <w:rsid w:val="00EA3A51"/>
    <w:rsid w:val="00EA4614"/>
    <w:rsid w:val="00EB3982"/>
    <w:rsid w:val="00EC6465"/>
    <w:rsid w:val="00EF3BE8"/>
    <w:rsid w:val="00EF5917"/>
    <w:rsid w:val="00F44F49"/>
    <w:rsid w:val="00F518CC"/>
    <w:rsid w:val="00F535E8"/>
    <w:rsid w:val="00F95B2F"/>
    <w:rsid w:val="00FC3805"/>
    <w:rsid w:val="00FD7736"/>
    <w:rsid w:val="018060C2"/>
    <w:rsid w:val="02DF5969"/>
    <w:rsid w:val="02FA565C"/>
    <w:rsid w:val="031621C0"/>
    <w:rsid w:val="046E75DA"/>
    <w:rsid w:val="097457A1"/>
    <w:rsid w:val="0D2A6629"/>
    <w:rsid w:val="0D802200"/>
    <w:rsid w:val="0D8E573B"/>
    <w:rsid w:val="0DFE36FB"/>
    <w:rsid w:val="0F5255A3"/>
    <w:rsid w:val="105236F4"/>
    <w:rsid w:val="10D8525F"/>
    <w:rsid w:val="1107668F"/>
    <w:rsid w:val="1291415C"/>
    <w:rsid w:val="139000E9"/>
    <w:rsid w:val="15B633E1"/>
    <w:rsid w:val="160958D1"/>
    <w:rsid w:val="17B032B8"/>
    <w:rsid w:val="19C5174D"/>
    <w:rsid w:val="1B0677B1"/>
    <w:rsid w:val="1BAE0B00"/>
    <w:rsid w:val="1C7566E2"/>
    <w:rsid w:val="1CCC465E"/>
    <w:rsid w:val="1D7C5FE0"/>
    <w:rsid w:val="1DB30CCA"/>
    <w:rsid w:val="1DDF282D"/>
    <w:rsid w:val="1E681F17"/>
    <w:rsid w:val="1EA30250"/>
    <w:rsid w:val="1EBA115C"/>
    <w:rsid w:val="1EC06503"/>
    <w:rsid w:val="1EC77ED3"/>
    <w:rsid w:val="21853A28"/>
    <w:rsid w:val="220F3BB5"/>
    <w:rsid w:val="241006FD"/>
    <w:rsid w:val="264546A9"/>
    <w:rsid w:val="27D66E7A"/>
    <w:rsid w:val="29036419"/>
    <w:rsid w:val="2957411B"/>
    <w:rsid w:val="29C75DCA"/>
    <w:rsid w:val="29F77946"/>
    <w:rsid w:val="29FC4DF8"/>
    <w:rsid w:val="2A857605"/>
    <w:rsid w:val="2AA858DE"/>
    <w:rsid w:val="2D0A2704"/>
    <w:rsid w:val="2D110A27"/>
    <w:rsid w:val="2F506829"/>
    <w:rsid w:val="30E7571E"/>
    <w:rsid w:val="31504CA8"/>
    <w:rsid w:val="317C5874"/>
    <w:rsid w:val="32A668F6"/>
    <w:rsid w:val="32AD5828"/>
    <w:rsid w:val="33370DBE"/>
    <w:rsid w:val="345F1147"/>
    <w:rsid w:val="35117D8E"/>
    <w:rsid w:val="35945A8A"/>
    <w:rsid w:val="383321D6"/>
    <w:rsid w:val="396A3338"/>
    <w:rsid w:val="3E4721FB"/>
    <w:rsid w:val="3FC23340"/>
    <w:rsid w:val="3FF16931"/>
    <w:rsid w:val="4179349E"/>
    <w:rsid w:val="427466CA"/>
    <w:rsid w:val="427F5F61"/>
    <w:rsid w:val="44977BD2"/>
    <w:rsid w:val="4CD02416"/>
    <w:rsid w:val="4CD840F6"/>
    <w:rsid w:val="4D4D22F7"/>
    <w:rsid w:val="4DAA6C5C"/>
    <w:rsid w:val="4FB5471E"/>
    <w:rsid w:val="51BC61DA"/>
    <w:rsid w:val="51E56746"/>
    <w:rsid w:val="522413CD"/>
    <w:rsid w:val="52DD486A"/>
    <w:rsid w:val="53197614"/>
    <w:rsid w:val="53F40CF7"/>
    <w:rsid w:val="54C64588"/>
    <w:rsid w:val="563201EC"/>
    <w:rsid w:val="565E2E11"/>
    <w:rsid w:val="56CE4CD3"/>
    <w:rsid w:val="57755A6A"/>
    <w:rsid w:val="579D3117"/>
    <w:rsid w:val="59BE5169"/>
    <w:rsid w:val="5B8738D1"/>
    <w:rsid w:val="5C2C6E38"/>
    <w:rsid w:val="5CCB6371"/>
    <w:rsid w:val="5D247512"/>
    <w:rsid w:val="5E3F476F"/>
    <w:rsid w:val="65665FA9"/>
    <w:rsid w:val="65AF5D3B"/>
    <w:rsid w:val="65ED39D8"/>
    <w:rsid w:val="664F19EB"/>
    <w:rsid w:val="671523BF"/>
    <w:rsid w:val="69032183"/>
    <w:rsid w:val="69BE4094"/>
    <w:rsid w:val="6A5A2828"/>
    <w:rsid w:val="6AE407A8"/>
    <w:rsid w:val="6B08389B"/>
    <w:rsid w:val="6B231FB3"/>
    <w:rsid w:val="6C5B4828"/>
    <w:rsid w:val="6E615AA5"/>
    <w:rsid w:val="6E6B2832"/>
    <w:rsid w:val="70647074"/>
    <w:rsid w:val="70A13E35"/>
    <w:rsid w:val="70E3598D"/>
    <w:rsid w:val="74CB1A4E"/>
    <w:rsid w:val="771D782A"/>
    <w:rsid w:val="7799254D"/>
    <w:rsid w:val="79321087"/>
    <w:rsid w:val="7AD70CC3"/>
    <w:rsid w:val="7BB3781D"/>
    <w:rsid w:val="7C395B19"/>
    <w:rsid w:val="7D32377E"/>
    <w:rsid w:val="7D485AB8"/>
    <w:rsid w:val="7E2217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0"/>
    <w:pPr>
      <w:keepNext/>
      <w:keepLines/>
      <w:spacing w:before="340" w:after="330" w:line="578" w:lineRule="auto"/>
      <w:jc w:val="center"/>
      <w:outlineLvl w:val="0"/>
    </w:pPr>
    <w:rPr>
      <w:rFonts w:ascii="Times New Roman" w:hAnsi="Times New Roman" w:eastAsia="宋体"/>
      <w:b/>
      <w:bCs/>
      <w:kern w:val="44"/>
      <w:sz w:val="24"/>
      <w:szCs w:val="44"/>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宋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563C1" w:themeColor="hyperlink"/>
      <w:u w:val="single"/>
    </w:rPr>
  </w:style>
  <w:style w:type="paragraph" w:customStyle="1" w:styleId="16">
    <w:name w:val="默认段落字体 Para Char Char Char Char Char Char Char Char Char Char"/>
    <w:basedOn w:val="1"/>
    <w:qFormat/>
    <w:uiPriority w:val="0"/>
  </w:style>
  <w:style w:type="paragraph" w:styleId="17">
    <w:name w:val="List Paragraph"/>
    <w:basedOn w:val="1"/>
    <w:qFormat/>
    <w:uiPriority w:val="99"/>
    <w:pPr>
      <w:ind w:firstLine="420" w:firstLineChars="200"/>
    </w:pPr>
  </w:style>
  <w:style w:type="character" w:customStyle="1" w:styleId="18">
    <w:name w:val="标题 1 Char"/>
    <w:basedOn w:val="13"/>
    <w:link w:val="3"/>
    <w:qFormat/>
    <w:uiPriority w:val="0"/>
    <w:rPr>
      <w:rFonts w:ascii="Times New Roman" w:hAnsi="Times New Roman" w:eastAsia="宋体"/>
      <w:b/>
      <w:bCs/>
      <w:kern w:val="44"/>
      <w:sz w:val="24"/>
      <w:szCs w:val="44"/>
    </w:rPr>
  </w:style>
  <w:style w:type="character" w:customStyle="1" w:styleId="19">
    <w:name w:val="批注框文本 Char"/>
    <w:basedOn w:val="13"/>
    <w:link w:val="5"/>
    <w:qFormat/>
    <w:uiPriority w:val="0"/>
    <w:rPr>
      <w:rFonts w:asciiTheme="minorHAnsi" w:hAnsiTheme="minorHAnsi" w:eastAsiaTheme="minorEastAsia" w:cstheme="minorBidi"/>
      <w:kern w:val="2"/>
      <w:sz w:val="18"/>
      <w:szCs w:val="18"/>
    </w:rPr>
  </w:style>
  <w:style w:type="character" w:customStyle="1" w:styleId="20">
    <w:name w:val="页眉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3211</Words>
  <Characters>3373</Characters>
  <Lines>16</Lines>
  <Paragraphs>4</Paragraphs>
  <TotalTime>146</TotalTime>
  <ScaleCrop>false</ScaleCrop>
  <LinksUpToDate>false</LinksUpToDate>
  <CharactersWithSpaces>3378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2022-03-16T09:09:00Z</dcterms:created>
  <dc:creator>Administrator</dc:creator>
  <cp:lastModifiedBy>Administrator</cp:lastModifiedBy>
  <cp:lastPrinted>2021-04-12T04:00:00Z</cp:lastPrinted>
  <dcterms:modified xsi:type="dcterms:W3CDTF">2022-05-07T08:10:32Z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B575FC768A3F4A1388461FB47CB0E992</vt:lpwstr>
  </property>
</Properties>
</file>