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9CF3E">
      <w:pPr>
        <w:jc w:val="center"/>
        <w:rPr>
          <w:b/>
          <w:sz w:val="30"/>
          <w:szCs w:val="30"/>
        </w:rPr>
      </w:pPr>
      <w:r>
        <w:rPr>
          <w:rFonts w:hint="eastAsia"/>
          <w:b/>
          <w:sz w:val="30"/>
          <w:szCs w:val="30"/>
        </w:rPr>
        <w:t>东莞市乐雅社会工作服务中心</w:t>
      </w:r>
    </w:p>
    <w:p w14:paraId="7EC7E8CE">
      <w:pPr>
        <w:jc w:val="center"/>
        <w:rPr>
          <w:b/>
          <w:sz w:val="30"/>
          <w:szCs w:val="30"/>
        </w:rPr>
      </w:pPr>
      <w:r>
        <w:rPr>
          <w:rFonts w:hint="eastAsia"/>
          <w:b/>
          <w:sz w:val="30"/>
          <w:szCs w:val="30"/>
        </w:rPr>
        <w:t>组织架构与职责分工</w:t>
      </w:r>
    </w:p>
    <w:p w14:paraId="151C3FEE">
      <w:pPr>
        <w:rPr>
          <w:b/>
          <w:sz w:val="28"/>
          <w:szCs w:val="28"/>
        </w:rPr>
      </w:pPr>
      <w:r>
        <w:rPr>
          <w:rFonts w:hint="eastAsia"/>
          <w:b/>
          <w:sz w:val="28"/>
          <w:szCs w:val="28"/>
        </w:rPr>
        <w:t>一、组织架构</w:t>
      </w:r>
    </w:p>
    <w:p w14:paraId="4A38F6AA">
      <w:pPr>
        <w:spacing w:line="600" w:lineRule="exact"/>
        <w:ind w:firstLine="560" w:firstLineChars="200"/>
        <w:rPr>
          <w:rFonts w:ascii="宋体" w:hAnsi="宋体" w:cs="宋体"/>
          <w:sz w:val="28"/>
          <w:szCs w:val="28"/>
        </w:rPr>
      </w:pPr>
      <w:r>
        <w:rPr>
          <w:rFonts w:hint="eastAsia" w:ascii="宋体" w:hAnsi="宋体" w:cs="宋体"/>
          <w:sz w:val="28"/>
          <w:szCs w:val="28"/>
        </w:rPr>
        <w:t>为促进机构管理的科学化和规范化，机构建立了完善的行政及服务管理组织架构，中心成立了理事会、监事，设立了总干事、</w:t>
      </w:r>
      <w:r>
        <w:rPr>
          <w:rFonts w:hint="eastAsia" w:ascii="宋体" w:hAnsi="宋体" w:cs="宋体"/>
          <w:sz w:val="28"/>
          <w:szCs w:val="28"/>
          <w:lang w:eastAsia="zh-CN"/>
        </w:rPr>
        <w:t>高级服务总监</w:t>
      </w:r>
      <w:r>
        <w:rPr>
          <w:rFonts w:hint="eastAsia" w:ascii="宋体" w:hAnsi="宋体" w:cs="宋体"/>
          <w:sz w:val="28"/>
          <w:szCs w:val="28"/>
        </w:rPr>
        <w:t>、办公室、服务部、项目部、人力资源部、宣传部、财务部的组织架构。同时，制定并逐步完善机构各部门职责分工，各行政人员做到了权责分明，责任到位。</w:t>
      </w:r>
    </w:p>
    <w:p w14:paraId="30A607EB">
      <w:pPr>
        <w:widowControl/>
        <w:jc w:val="center"/>
        <w:rPr>
          <w:rFonts w:hint="eastAsia" w:eastAsiaTheme="minorEastAsia"/>
          <w:lang w:eastAsia="zh-CN"/>
        </w:rPr>
      </w:pPr>
      <w:r>
        <w:rPr>
          <w:rFonts w:hint="eastAsia" w:eastAsiaTheme="minorEastAsia"/>
          <w:lang w:eastAsia="zh-CN"/>
        </w:rPr>
        <w:drawing>
          <wp:inline distT="0" distB="0" distL="114300" distR="114300">
            <wp:extent cx="5481320" cy="4436110"/>
            <wp:effectExtent l="0" t="0" r="5080" b="2540"/>
            <wp:docPr id="2" name="图片 2" descr="173406498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4064984950"/>
                    <pic:cNvPicPr>
                      <a:picLocks noChangeAspect="1"/>
                    </pic:cNvPicPr>
                  </pic:nvPicPr>
                  <pic:blipFill>
                    <a:blip r:embed="rId4"/>
                    <a:stretch>
                      <a:fillRect/>
                    </a:stretch>
                  </pic:blipFill>
                  <pic:spPr>
                    <a:xfrm>
                      <a:off x="0" y="0"/>
                      <a:ext cx="5481320" cy="4436110"/>
                    </a:xfrm>
                    <a:prstGeom prst="rect">
                      <a:avLst/>
                    </a:prstGeom>
                  </pic:spPr>
                </pic:pic>
              </a:graphicData>
            </a:graphic>
          </wp:inline>
        </w:drawing>
      </w:r>
    </w:p>
    <w:p w14:paraId="26330EC9">
      <w:pPr>
        <w:widowControl/>
        <w:jc w:val="center"/>
      </w:pPr>
    </w:p>
    <w:p w14:paraId="5D179924">
      <w:pPr>
        <w:widowControl/>
      </w:pPr>
    </w:p>
    <w:p w14:paraId="690903E7">
      <w:pPr>
        <w:rPr>
          <w:b/>
          <w:sz w:val="28"/>
          <w:szCs w:val="28"/>
        </w:rPr>
      </w:pPr>
      <w:r>
        <w:rPr>
          <w:rFonts w:hint="eastAsia"/>
          <w:b/>
          <w:sz w:val="28"/>
          <w:szCs w:val="28"/>
        </w:rPr>
        <w:t>二、部门职责</w:t>
      </w:r>
    </w:p>
    <w:p w14:paraId="566631AB">
      <w:pPr>
        <w:jc w:val="center"/>
        <w:rPr>
          <w:b/>
          <w:sz w:val="28"/>
          <w:szCs w:val="28"/>
        </w:rPr>
      </w:pPr>
      <w:bookmarkStart w:id="0" w:name="_Toc11946"/>
      <w:r>
        <w:rPr>
          <w:rFonts w:hint="eastAsia"/>
          <w:b/>
          <w:sz w:val="28"/>
          <w:szCs w:val="28"/>
        </w:rPr>
        <w:t>第一章、理事会</w:t>
      </w:r>
      <w:bookmarkEnd w:id="0"/>
    </w:p>
    <w:p w14:paraId="7F1ECAC5">
      <w:pPr>
        <w:pStyle w:val="3"/>
        <w:spacing w:after="0" w:line="600" w:lineRule="exact"/>
        <w:ind w:firstLine="480" w:firstLineChars="200"/>
        <w:rPr>
          <w:rFonts w:ascii="宋体" w:hAnsi="宋体" w:cs="宋体"/>
          <w:sz w:val="24"/>
        </w:rPr>
      </w:pPr>
      <w:r>
        <w:rPr>
          <w:rFonts w:hint="eastAsia" w:ascii="宋体" w:hAnsi="宋体" w:cs="宋体"/>
          <w:sz w:val="24"/>
        </w:rPr>
        <w:t>本单位设理事会，目前成员为3人。理事会是本单位的决策机构。</w:t>
      </w:r>
    </w:p>
    <w:p w14:paraId="13B9F328">
      <w:pPr>
        <w:pStyle w:val="3"/>
        <w:spacing w:after="0" w:line="600" w:lineRule="exact"/>
        <w:ind w:firstLine="480" w:firstLineChars="200"/>
        <w:rPr>
          <w:rFonts w:ascii="宋体" w:hAnsi="宋体" w:cs="宋体"/>
          <w:sz w:val="24"/>
        </w:rPr>
      </w:pPr>
      <w:r>
        <w:rPr>
          <w:rFonts w:hint="eastAsia" w:ascii="宋体" w:hAnsi="宋体" w:cs="宋体"/>
          <w:sz w:val="24"/>
        </w:rPr>
        <w:t>理事会角色、责任和权利如下：确保组织具有使命、策略以及长期目标,代表利益相关方监督执行理事和高级管理者的工作；确保建立各种体系,使组织向所有利益相关方展示其公信力和透明度,特别是财务方面；确保组织根据</w:t>
      </w:r>
      <w:r>
        <w:rPr>
          <w:rFonts w:hint="eastAsia" w:ascii="宋体" w:hAnsi="宋体" w:cs="宋体"/>
          <w:sz w:val="24"/>
          <w:lang w:eastAsia="zh-CN"/>
        </w:rPr>
        <w:t>机构章程和使命</w:t>
      </w:r>
      <w:r>
        <w:rPr>
          <w:rFonts w:hint="eastAsia" w:ascii="宋体" w:hAnsi="宋体" w:cs="宋体"/>
          <w:sz w:val="24"/>
        </w:rPr>
        <w:t>开展工作,且不触犯任何国家法律；确保组织具备所有相关政策,并且不断更新,确保组织的资金和其它资源仅用于组织根据适用文件开展工作,并确保组织</w:t>
      </w:r>
      <w:r>
        <w:rPr>
          <w:rFonts w:hint="eastAsia" w:ascii="宋体" w:hAnsi="宋体" w:cs="宋体"/>
          <w:sz w:val="24"/>
          <w:highlight w:val="none"/>
        </w:rPr>
        <w:t>运</w:t>
      </w:r>
      <w:r>
        <w:rPr>
          <w:rFonts w:hint="eastAsia" w:ascii="宋体" w:hAnsi="宋体" w:cs="宋体"/>
          <w:sz w:val="24"/>
          <w:highlight w:val="none"/>
          <w:lang w:eastAsia="zh-CN"/>
        </w:rPr>
        <w:t>营</w:t>
      </w:r>
      <w:r>
        <w:rPr>
          <w:rFonts w:hint="eastAsia" w:ascii="宋体" w:hAnsi="宋体" w:cs="宋体"/>
          <w:sz w:val="24"/>
        </w:rPr>
        <w:t>具有足够资源确保理事会工作顺利,会议高效进行。其职责主要体现在以下几个方面：</w:t>
      </w:r>
    </w:p>
    <w:p w14:paraId="0B4EDF78">
      <w:pPr>
        <w:pStyle w:val="3"/>
        <w:numPr>
          <w:ilvl w:val="0"/>
          <w:numId w:val="1"/>
        </w:numPr>
        <w:spacing w:after="0" w:line="600" w:lineRule="exact"/>
        <w:ind w:firstLine="480" w:firstLineChars="200"/>
        <w:rPr>
          <w:sz w:val="24"/>
        </w:rPr>
      </w:pPr>
      <w:r>
        <w:rPr>
          <w:rFonts w:hint="eastAsia"/>
          <w:sz w:val="24"/>
        </w:rPr>
        <w:t>修改机构章程；</w:t>
      </w:r>
    </w:p>
    <w:p w14:paraId="3EAF261F">
      <w:pPr>
        <w:pStyle w:val="3"/>
        <w:numPr>
          <w:ilvl w:val="0"/>
          <w:numId w:val="1"/>
        </w:numPr>
        <w:spacing w:after="0" w:line="600" w:lineRule="exact"/>
        <w:ind w:firstLine="480" w:firstLineChars="200"/>
        <w:rPr>
          <w:sz w:val="24"/>
        </w:rPr>
      </w:pPr>
      <w:r>
        <w:rPr>
          <w:rFonts w:hint="eastAsia"/>
          <w:sz w:val="24"/>
        </w:rPr>
        <w:t>制定业务活动计划；</w:t>
      </w:r>
    </w:p>
    <w:p w14:paraId="6CD0C04A">
      <w:pPr>
        <w:pStyle w:val="3"/>
        <w:numPr>
          <w:ilvl w:val="0"/>
          <w:numId w:val="1"/>
        </w:numPr>
        <w:spacing w:after="0" w:line="600" w:lineRule="exact"/>
        <w:ind w:firstLine="480" w:firstLineChars="200"/>
        <w:rPr>
          <w:sz w:val="24"/>
        </w:rPr>
      </w:pPr>
      <w:r>
        <w:rPr>
          <w:rFonts w:hint="eastAsia"/>
          <w:sz w:val="24"/>
        </w:rPr>
        <w:t>制定年度财务预算、决算方案；</w:t>
      </w:r>
    </w:p>
    <w:p w14:paraId="76409673">
      <w:pPr>
        <w:pStyle w:val="3"/>
        <w:numPr>
          <w:ilvl w:val="0"/>
          <w:numId w:val="1"/>
        </w:numPr>
        <w:spacing w:after="0" w:line="600" w:lineRule="exact"/>
        <w:ind w:firstLine="480" w:firstLineChars="200"/>
        <w:rPr>
          <w:sz w:val="24"/>
        </w:rPr>
      </w:pPr>
      <w:r>
        <w:rPr>
          <w:rFonts w:hint="eastAsia"/>
          <w:sz w:val="24"/>
        </w:rPr>
        <w:t>制定增加开办资金的方案；</w:t>
      </w:r>
    </w:p>
    <w:p w14:paraId="33099AF5">
      <w:pPr>
        <w:pStyle w:val="3"/>
        <w:numPr>
          <w:ilvl w:val="0"/>
          <w:numId w:val="1"/>
        </w:numPr>
        <w:spacing w:after="0" w:line="600" w:lineRule="exact"/>
        <w:ind w:firstLine="480" w:firstLineChars="200"/>
        <w:rPr>
          <w:sz w:val="24"/>
        </w:rPr>
      </w:pPr>
      <w:r>
        <w:rPr>
          <w:rFonts w:hint="eastAsia"/>
          <w:sz w:val="24"/>
        </w:rPr>
        <w:t>本单位的分立、合并或终止；</w:t>
      </w:r>
    </w:p>
    <w:p w14:paraId="5B7C8CC0">
      <w:pPr>
        <w:pStyle w:val="3"/>
        <w:numPr>
          <w:ilvl w:val="0"/>
          <w:numId w:val="1"/>
        </w:numPr>
        <w:spacing w:after="0" w:line="600" w:lineRule="exact"/>
        <w:ind w:firstLine="480" w:firstLineChars="200"/>
        <w:rPr>
          <w:sz w:val="24"/>
        </w:rPr>
      </w:pPr>
      <w:r>
        <w:rPr>
          <w:rFonts w:hint="eastAsia"/>
          <w:sz w:val="24"/>
        </w:rPr>
        <w:t>聘任或者解聘本单位总干事和提名聘任或者解聘本单位的副总干事及财务负责人；</w:t>
      </w:r>
    </w:p>
    <w:p w14:paraId="2653AFEE">
      <w:pPr>
        <w:pStyle w:val="3"/>
        <w:numPr>
          <w:ilvl w:val="0"/>
          <w:numId w:val="1"/>
        </w:numPr>
        <w:spacing w:after="0" w:line="600" w:lineRule="exact"/>
        <w:ind w:firstLine="480" w:firstLineChars="200"/>
        <w:rPr>
          <w:sz w:val="24"/>
        </w:rPr>
      </w:pPr>
      <w:r>
        <w:rPr>
          <w:rFonts w:hint="eastAsia"/>
          <w:sz w:val="24"/>
        </w:rPr>
        <w:t>罢免、增补理事；</w:t>
      </w:r>
    </w:p>
    <w:p w14:paraId="73EF571C">
      <w:pPr>
        <w:pStyle w:val="3"/>
        <w:numPr>
          <w:ilvl w:val="0"/>
          <w:numId w:val="1"/>
        </w:numPr>
        <w:spacing w:after="0" w:line="600" w:lineRule="exact"/>
        <w:ind w:firstLine="480" w:firstLineChars="200"/>
        <w:rPr>
          <w:sz w:val="24"/>
        </w:rPr>
      </w:pPr>
      <w:r>
        <w:rPr>
          <w:rFonts w:hint="eastAsia"/>
          <w:sz w:val="24"/>
        </w:rPr>
        <w:t>制定内部管理制度；</w:t>
      </w:r>
    </w:p>
    <w:p w14:paraId="5C1027A0">
      <w:pPr>
        <w:pStyle w:val="3"/>
        <w:numPr>
          <w:ilvl w:val="0"/>
          <w:numId w:val="1"/>
        </w:numPr>
        <w:spacing w:after="0" w:line="600" w:lineRule="exact"/>
        <w:ind w:firstLine="480" w:firstLineChars="200"/>
        <w:rPr>
          <w:sz w:val="24"/>
        </w:rPr>
      </w:pPr>
      <w:r>
        <w:rPr>
          <w:rFonts w:hint="eastAsia"/>
          <w:sz w:val="24"/>
        </w:rPr>
        <w:t>进行内部机构的设置；</w:t>
      </w:r>
    </w:p>
    <w:p w14:paraId="3BB1084F">
      <w:pPr>
        <w:pStyle w:val="3"/>
        <w:numPr>
          <w:ilvl w:val="0"/>
          <w:numId w:val="1"/>
        </w:numPr>
        <w:spacing w:after="0" w:line="600" w:lineRule="exact"/>
        <w:ind w:firstLine="480" w:firstLineChars="200"/>
        <w:rPr>
          <w:sz w:val="24"/>
        </w:rPr>
      </w:pPr>
      <w:r>
        <w:rPr>
          <w:rFonts w:hint="eastAsia"/>
          <w:sz w:val="24"/>
        </w:rPr>
        <w:t>从业人员的工资报酬。</w:t>
      </w:r>
    </w:p>
    <w:p w14:paraId="677647B1">
      <w:pPr>
        <w:spacing w:line="600" w:lineRule="exact"/>
        <w:ind w:firstLine="482" w:firstLineChars="200"/>
        <w:rPr>
          <w:rFonts w:hint="eastAsia" w:ascii="宋体" w:hAnsi="宋体" w:cs="宋体"/>
          <w:b/>
          <w:bCs/>
          <w:sz w:val="24"/>
          <w:highlight w:val="none"/>
          <w:lang w:val="en-US" w:eastAsia="zh-CN"/>
        </w:rPr>
      </w:pPr>
      <w:bookmarkStart w:id="1" w:name="_Toc13408"/>
      <w:r>
        <w:rPr>
          <w:rFonts w:hint="default" w:ascii="宋体" w:hAnsi="宋体" w:cs="宋体"/>
          <w:b/>
          <w:bCs/>
          <w:sz w:val="24"/>
          <w:highlight w:val="none"/>
          <w:lang w:val="en-US" w:eastAsia="zh-CN"/>
        </w:rPr>
        <w:t>1.1</w:t>
      </w:r>
      <w:r>
        <w:rPr>
          <w:rFonts w:hint="eastAsia" w:ascii="宋体" w:hAnsi="宋体" w:cs="宋体"/>
          <w:b/>
          <w:bCs/>
          <w:sz w:val="24"/>
          <w:highlight w:val="none"/>
          <w:lang w:val="en-US" w:eastAsia="zh-CN"/>
        </w:rPr>
        <w:t>理事长助理</w:t>
      </w:r>
    </w:p>
    <w:p w14:paraId="526E8BEF">
      <w:pPr>
        <w:pStyle w:val="3"/>
        <w:numPr>
          <w:ilvl w:val="0"/>
          <w:numId w:val="0"/>
        </w:numPr>
        <w:spacing w:after="0" w:line="600" w:lineRule="exact"/>
        <w:ind w:firstLine="480" w:firstLineChars="200"/>
        <w:rPr>
          <w:rFonts w:hint="eastAsia"/>
          <w:sz w:val="24"/>
        </w:rPr>
      </w:pPr>
      <w:r>
        <w:rPr>
          <w:rFonts w:hint="eastAsia"/>
          <w:sz w:val="24"/>
          <w:lang w:val="en-US" w:eastAsia="zh-CN"/>
        </w:rPr>
        <w:t>协助理事长对机构运营及各职能部门进行管理，协调各部门关系，</w:t>
      </w:r>
      <w:r>
        <w:rPr>
          <w:rFonts w:hint="eastAsia"/>
          <w:sz w:val="24"/>
        </w:rPr>
        <w:t>制定业务活动计划</w:t>
      </w:r>
      <w:r>
        <w:rPr>
          <w:rFonts w:hint="eastAsia"/>
          <w:sz w:val="24"/>
          <w:lang w:eastAsia="zh-CN"/>
        </w:rPr>
        <w:t>，协助</w:t>
      </w:r>
      <w:r>
        <w:rPr>
          <w:rFonts w:hint="eastAsia"/>
          <w:sz w:val="24"/>
        </w:rPr>
        <w:t>制定年度财务预算、决算方案；制定增加开办资金的方案</w:t>
      </w:r>
      <w:r>
        <w:rPr>
          <w:rFonts w:hint="eastAsia"/>
          <w:sz w:val="24"/>
          <w:lang w:eastAsia="zh-CN"/>
        </w:rPr>
        <w:t>，协助跟进</w:t>
      </w:r>
      <w:r>
        <w:rPr>
          <w:rFonts w:hint="eastAsia"/>
          <w:sz w:val="24"/>
        </w:rPr>
        <w:t>本单位的分立、合并或终止</w:t>
      </w:r>
      <w:r>
        <w:rPr>
          <w:rFonts w:hint="eastAsia"/>
          <w:sz w:val="24"/>
          <w:lang w:eastAsia="zh-CN"/>
        </w:rPr>
        <w:t>，</w:t>
      </w:r>
      <w:r>
        <w:rPr>
          <w:rFonts w:hint="eastAsia"/>
          <w:sz w:val="24"/>
        </w:rPr>
        <w:t>聘任或者解聘本单位总干事和提名聘任或者解聘本单位的副总干事及财务负责人</w:t>
      </w:r>
      <w:r>
        <w:rPr>
          <w:rFonts w:hint="eastAsia"/>
          <w:sz w:val="24"/>
          <w:lang w:eastAsia="zh-CN"/>
        </w:rPr>
        <w:t>，</w:t>
      </w:r>
      <w:r>
        <w:rPr>
          <w:rFonts w:hint="eastAsia"/>
          <w:sz w:val="24"/>
        </w:rPr>
        <w:t>罢免、增补理事；制定内部管理制度</w:t>
      </w:r>
      <w:r>
        <w:rPr>
          <w:rFonts w:hint="eastAsia"/>
          <w:sz w:val="24"/>
          <w:lang w:eastAsia="zh-CN"/>
        </w:rPr>
        <w:t>，</w:t>
      </w:r>
      <w:r>
        <w:rPr>
          <w:rFonts w:hint="eastAsia"/>
          <w:sz w:val="24"/>
        </w:rPr>
        <w:t>进行内部机构的设置</w:t>
      </w:r>
      <w:r>
        <w:rPr>
          <w:rFonts w:hint="eastAsia"/>
          <w:sz w:val="24"/>
          <w:lang w:eastAsia="zh-CN"/>
        </w:rPr>
        <w:t>，</w:t>
      </w:r>
      <w:r>
        <w:rPr>
          <w:rFonts w:hint="eastAsia"/>
          <w:sz w:val="24"/>
        </w:rPr>
        <w:t>从业人员的工资报酬。</w:t>
      </w:r>
    </w:p>
    <w:p w14:paraId="5764600B">
      <w:pPr>
        <w:pStyle w:val="3"/>
        <w:numPr>
          <w:ilvl w:val="0"/>
          <w:numId w:val="0"/>
        </w:numPr>
        <w:spacing w:after="0" w:line="600" w:lineRule="exact"/>
        <w:ind w:firstLine="482" w:firstLineChars="200"/>
        <w:rPr>
          <w:rFonts w:hint="eastAsia" w:ascii="宋体" w:hAnsi="宋体" w:cs="宋体" w:eastAsiaTheme="minorEastAsia"/>
          <w:b/>
          <w:bCs/>
          <w:kern w:val="2"/>
          <w:sz w:val="24"/>
          <w:szCs w:val="24"/>
          <w:highlight w:val="none"/>
          <w:lang w:val="en-US" w:eastAsia="zh-CN" w:bidi="ar-SA"/>
        </w:rPr>
      </w:pPr>
      <w:r>
        <w:rPr>
          <w:rFonts w:hint="default" w:ascii="宋体" w:hAnsi="宋体" w:cs="宋体" w:eastAsiaTheme="minorEastAsia"/>
          <w:b/>
          <w:bCs/>
          <w:kern w:val="2"/>
          <w:sz w:val="24"/>
          <w:szCs w:val="24"/>
          <w:highlight w:val="none"/>
          <w:lang w:val="en-US" w:eastAsia="zh-CN" w:bidi="ar-SA"/>
        </w:rPr>
        <w:t>1.2</w:t>
      </w:r>
      <w:r>
        <w:rPr>
          <w:rFonts w:hint="eastAsia" w:ascii="宋体" w:hAnsi="宋体" w:cs="宋体" w:eastAsiaTheme="minorEastAsia"/>
          <w:b/>
          <w:bCs/>
          <w:kern w:val="2"/>
          <w:sz w:val="24"/>
          <w:szCs w:val="24"/>
          <w:highlight w:val="none"/>
          <w:lang w:val="en-US" w:eastAsia="zh-CN" w:bidi="ar-SA"/>
        </w:rPr>
        <w:t>专家顾问</w:t>
      </w:r>
    </w:p>
    <w:p w14:paraId="40C781DB">
      <w:pPr>
        <w:pStyle w:val="3"/>
        <w:numPr>
          <w:ilvl w:val="0"/>
          <w:numId w:val="0"/>
        </w:numPr>
        <w:spacing w:after="0" w:line="600" w:lineRule="exact"/>
        <w:ind w:firstLine="480" w:firstLineChars="200"/>
        <w:rPr>
          <w:rFonts w:hint="eastAsia" w:ascii="宋体" w:hAnsi="宋体" w:cs="宋体" w:eastAsiaTheme="minorEastAsia"/>
          <w:b/>
          <w:bCs/>
          <w:kern w:val="2"/>
          <w:sz w:val="24"/>
          <w:szCs w:val="24"/>
          <w:highlight w:val="none"/>
          <w:lang w:val="en-US" w:eastAsia="zh-CN" w:bidi="ar-SA"/>
        </w:rPr>
      </w:pPr>
      <w:r>
        <w:rPr>
          <w:rFonts w:hint="eastAsia"/>
          <w:sz w:val="24"/>
          <w:lang w:val="en-US" w:eastAsia="zh-CN"/>
        </w:rPr>
        <w:t>对机构整体规划和服务发展给予专业指导意见；给予机构管理、组织架构、制度设计、文化建设、督导培训等方面的相应的支持；协助联系和链接各类优势资源，推动机构人才培养和特色工作开展；协助机构做好内外协调沟通，树立机构专业形象。</w:t>
      </w:r>
    </w:p>
    <w:p w14:paraId="7335ECB0">
      <w:pPr>
        <w:jc w:val="center"/>
        <w:rPr>
          <w:b/>
          <w:sz w:val="28"/>
          <w:szCs w:val="28"/>
        </w:rPr>
      </w:pPr>
      <w:r>
        <w:rPr>
          <w:rFonts w:hint="eastAsia"/>
          <w:b/>
          <w:sz w:val="28"/>
          <w:szCs w:val="28"/>
        </w:rPr>
        <w:t>第二章、监事会</w:t>
      </w:r>
      <w:bookmarkEnd w:id="1"/>
    </w:p>
    <w:p w14:paraId="4642BD5F">
      <w:pPr>
        <w:spacing w:line="600" w:lineRule="exact"/>
        <w:rPr>
          <w:rFonts w:ascii="宋体" w:hAnsi="宋体" w:cs="宋体"/>
          <w:sz w:val="24"/>
        </w:rPr>
      </w:pPr>
      <w:r>
        <w:rPr>
          <w:rFonts w:hint="eastAsia"/>
        </w:rPr>
        <w:t xml:space="preserve">   </w:t>
      </w:r>
      <w:r>
        <w:rPr>
          <w:rFonts w:hint="eastAsia" w:ascii="宋体" w:hAnsi="宋体" w:cs="宋体"/>
          <w:sz w:val="24"/>
        </w:rPr>
        <w:t xml:space="preserve"> 监事会是对理事会和</w:t>
      </w:r>
      <w:r>
        <w:rPr>
          <w:rFonts w:hint="eastAsia" w:ascii="宋体" w:hAnsi="宋体" w:cs="宋体"/>
          <w:sz w:val="24"/>
          <w:highlight w:val="none"/>
          <w:lang w:eastAsia="zh-CN"/>
        </w:rPr>
        <w:t>上</w:t>
      </w:r>
      <w:r>
        <w:rPr>
          <w:rFonts w:hint="eastAsia" w:ascii="宋体" w:hAnsi="宋体" w:cs="宋体"/>
          <w:sz w:val="24"/>
          <w:highlight w:val="none"/>
        </w:rPr>
        <w:t>级行政管理系统行使监督的内部组织。监事</w:t>
      </w:r>
      <w:r>
        <w:rPr>
          <w:rFonts w:hint="eastAsia" w:ascii="宋体" w:hAnsi="宋体" w:cs="宋体"/>
          <w:sz w:val="24"/>
          <w:highlight w:val="none"/>
          <w:lang w:eastAsia="zh-CN"/>
        </w:rPr>
        <w:t>会</w:t>
      </w:r>
      <w:r>
        <w:rPr>
          <w:rFonts w:hint="eastAsia" w:ascii="宋体" w:hAnsi="宋体" w:cs="宋体"/>
          <w:sz w:val="24"/>
          <w:highlight w:val="none"/>
        </w:rPr>
        <w:t>或</w:t>
      </w:r>
      <w:r>
        <w:rPr>
          <w:rFonts w:hint="eastAsia" w:ascii="宋体" w:hAnsi="宋体" w:cs="宋体"/>
          <w:sz w:val="24"/>
        </w:rPr>
        <w:t>监事行使下列职权包括: (1)检查本单位财务；(2)对本单位理事长、常务理事、执行理事违反法律、法规或章程的行为进行监督；(3)当本单位理事长、常务理事、执行理事的行为损害本单位的利益时,要求其予以纠正: (4)监事列席理事会会议。</w:t>
      </w:r>
    </w:p>
    <w:p w14:paraId="216CB70A">
      <w:pPr>
        <w:jc w:val="center"/>
        <w:rPr>
          <w:b/>
          <w:sz w:val="28"/>
          <w:szCs w:val="28"/>
        </w:rPr>
      </w:pPr>
      <w:bookmarkStart w:id="2" w:name="_Toc3084"/>
      <w:r>
        <w:rPr>
          <w:rFonts w:hint="eastAsia"/>
          <w:b/>
          <w:sz w:val="28"/>
          <w:szCs w:val="28"/>
        </w:rPr>
        <w:t>第三章、党支部</w:t>
      </w:r>
      <w:bookmarkEnd w:id="2"/>
    </w:p>
    <w:p w14:paraId="54854477">
      <w:pPr>
        <w:pStyle w:val="3"/>
        <w:spacing w:after="0" w:line="600" w:lineRule="exact"/>
        <w:ind w:firstLine="480" w:firstLineChars="200"/>
        <w:rPr>
          <w:rFonts w:ascii="宋体" w:hAnsi="宋体" w:cs="宋体"/>
          <w:sz w:val="24"/>
        </w:rPr>
      </w:pPr>
      <w:r>
        <w:rPr>
          <w:rFonts w:hint="eastAsia" w:ascii="宋体" w:hAnsi="宋体" w:cs="宋体"/>
          <w:sz w:val="24"/>
        </w:rPr>
        <w:t>在市社会组织管理局党委的领导下，中共东莞市乐雅社会工作支部委员会成立于2011年1月22日，党支部成立后，支部架构建设逐步完善，支委会、小组会、民主生活会等支部活动有序开展，丰富了党的活动，团结了党群关系，党建工作稳步推进。其职责主要体现在以下几个方面：</w:t>
      </w:r>
    </w:p>
    <w:p w14:paraId="060A453D">
      <w:pPr>
        <w:spacing w:line="600" w:lineRule="exact"/>
        <w:ind w:firstLine="480" w:firstLineChars="200"/>
        <w:rPr>
          <w:rFonts w:ascii="宋体" w:hAnsi="宋体"/>
          <w:sz w:val="24"/>
        </w:rPr>
      </w:pPr>
      <w:r>
        <w:rPr>
          <w:rFonts w:hint="eastAsia" w:ascii="宋体" w:hAnsi="宋体"/>
          <w:sz w:val="24"/>
        </w:rPr>
        <w:t>1、宣传和执行和党的路线、方针、政策以及上级党组织的决议和指示，充分发挥党员的先锋模范作用，团结、组织党内外的干部和群众，保证本部门各项任务的完成。    </w:t>
      </w:r>
    </w:p>
    <w:p w14:paraId="48804720">
      <w:pPr>
        <w:spacing w:line="600" w:lineRule="exact"/>
        <w:ind w:firstLine="480" w:firstLineChars="200"/>
        <w:rPr>
          <w:rFonts w:ascii="宋体" w:hAnsi="宋体"/>
          <w:sz w:val="24"/>
        </w:rPr>
      </w:pPr>
      <w:r>
        <w:rPr>
          <w:rFonts w:hint="eastAsia" w:ascii="宋体" w:hAnsi="宋体"/>
          <w:sz w:val="24"/>
        </w:rPr>
        <w:t>2、</w:t>
      </w:r>
      <w:r>
        <w:rPr>
          <w:rFonts w:hint="eastAsia" w:ascii="宋体" w:hAnsi="宋体"/>
          <w:sz w:val="24"/>
          <w:highlight w:val="none"/>
        </w:rPr>
        <w:t xml:space="preserve">组织党员认真学习马克思列宁主义、毛泽东思想、邓小平理论、“三个代表”重要思想、科学发展观、习近平新时代中国特色社会主义思想，学习党的基本路线、基本理论和基本知识，学习科学、文化和业务知识。   </w:t>
      </w:r>
      <w:r>
        <w:rPr>
          <w:rFonts w:hint="eastAsia" w:ascii="宋体" w:hAnsi="宋体"/>
          <w:sz w:val="24"/>
        </w:rPr>
        <w:t> </w:t>
      </w:r>
    </w:p>
    <w:p w14:paraId="0BE47C20">
      <w:pPr>
        <w:spacing w:line="600" w:lineRule="exact"/>
        <w:ind w:firstLine="480" w:firstLineChars="200"/>
        <w:rPr>
          <w:rFonts w:ascii="宋体" w:hAnsi="宋体"/>
          <w:sz w:val="24"/>
        </w:rPr>
      </w:pPr>
      <w:r>
        <w:rPr>
          <w:rFonts w:hint="eastAsia" w:ascii="宋体" w:hAnsi="宋体"/>
          <w:sz w:val="24"/>
        </w:rPr>
        <w:t>3、对党员进行教育管理，严格党的组织生活，认真开展批评和自我批评，监督党员切实履行义务，遵守纪律，保证党员的权利不受侵犯。坚持“三会一课”制度，开展“两先两优”评比活动，表扬党员中的模范事迹。    </w:t>
      </w:r>
    </w:p>
    <w:p w14:paraId="0067C799">
      <w:pPr>
        <w:spacing w:line="600" w:lineRule="exact"/>
        <w:ind w:firstLine="480" w:firstLineChars="200"/>
        <w:rPr>
          <w:rFonts w:ascii="宋体" w:hAnsi="宋体"/>
          <w:sz w:val="24"/>
        </w:rPr>
      </w:pPr>
      <w:r>
        <w:rPr>
          <w:rFonts w:hint="eastAsia" w:ascii="宋体" w:hAnsi="宋体"/>
          <w:sz w:val="24"/>
        </w:rPr>
        <w:t>4、做好党员评议工作，根据“从严治党”的方针，严格按党员标准进行考核，维护和执行党的纪律。对违纪党员进行教育和查处，对不合格进行劝退，对受纪律处分的党员、评议中群众意见较大的党员以及延长预备期的党员等要加强帮助。    </w:t>
      </w:r>
    </w:p>
    <w:p w14:paraId="0240FA54">
      <w:pPr>
        <w:spacing w:line="600" w:lineRule="exact"/>
        <w:ind w:firstLine="480" w:firstLineChars="200"/>
        <w:rPr>
          <w:rFonts w:ascii="宋体" w:hAnsi="宋体"/>
          <w:sz w:val="24"/>
        </w:rPr>
      </w:pPr>
      <w:r>
        <w:rPr>
          <w:rFonts w:hint="eastAsia" w:ascii="宋体" w:hAnsi="宋体"/>
          <w:sz w:val="24"/>
        </w:rPr>
        <w:t>5、按时收缴党费，及时接转组织关系，对长期外出、进修的党员加强联系和教育。    </w:t>
      </w:r>
    </w:p>
    <w:p w14:paraId="7E9DBB8F">
      <w:pPr>
        <w:spacing w:line="600" w:lineRule="exact"/>
        <w:ind w:firstLine="480" w:firstLineChars="200"/>
        <w:rPr>
          <w:rFonts w:ascii="宋体" w:hAnsi="宋体"/>
          <w:sz w:val="24"/>
        </w:rPr>
      </w:pPr>
      <w:r>
        <w:rPr>
          <w:rFonts w:hint="eastAsia" w:ascii="宋体" w:hAnsi="宋体"/>
          <w:sz w:val="24"/>
        </w:rPr>
        <w:t>6、密切联系群众，经常了解群众对党员、党的工作的批评、意见和建议，了解、分析</w:t>
      </w:r>
      <w:r>
        <w:rPr>
          <w:rFonts w:hint="eastAsia" w:ascii="宋体" w:hAnsi="宋体"/>
          <w:sz w:val="24"/>
          <w:highlight w:val="none"/>
        </w:rPr>
        <w:t>员工</w:t>
      </w:r>
      <w:r>
        <w:rPr>
          <w:rFonts w:hint="eastAsia" w:ascii="宋体" w:hAnsi="宋体"/>
          <w:sz w:val="24"/>
        </w:rPr>
        <w:t>的思想状况，有针对性做好思想政治工作，对于群众中的错误意见和不良风气，要用适当的方法加以纠正，化解矛盾，理顺情绪。    </w:t>
      </w:r>
    </w:p>
    <w:p w14:paraId="1F8014D1">
      <w:pPr>
        <w:spacing w:line="600" w:lineRule="exact"/>
        <w:ind w:firstLine="480" w:firstLineChars="200"/>
        <w:rPr>
          <w:rFonts w:ascii="宋体" w:hAnsi="宋体"/>
          <w:sz w:val="24"/>
        </w:rPr>
      </w:pPr>
      <w:r>
        <w:rPr>
          <w:rFonts w:hint="eastAsia" w:ascii="宋体" w:hAnsi="宋体"/>
          <w:sz w:val="24"/>
        </w:rPr>
        <w:t>7、按照“坚持标准、保证质量、改善结构、慎重发展”的方针，做好吸收党员工作。对吸收的预备党员和要求入党的积极份子，要指令专人每季度至少谈话一次。</w:t>
      </w:r>
    </w:p>
    <w:p w14:paraId="69DD54EB">
      <w:pPr>
        <w:spacing w:line="600" w:lineRule="exact"/>
        <w:ind w:firstLine="480" w:firstLineChars="200"/>
        <w:rPr>
          <w:rFonts w:ascii="宋体" w:hAnsi="宋体"/>
          <w:sz w:val="24"/>
          <w:highlight w:val="none"/>
        </w:rPr>
      </w:pPr>
      <w:r>
        <w:rPr>
          <w:rFonts w:hint="eastAsia" w:ascii="宋体" w:hAnsi="宋体"/>
          <w:sz w:val="24"/>
        </w:rPr>
        <w:t>8、</w:t>
      </w:r>
      <w:r>
        <w:rPr>
          <w:rFonts w:hint="eastAsia" w:ascii="宋体" w:hAnsi="宋体"/>
          <w:sz w:val="24"/>
          <w:highlight w:val="none"/>
        </w:rPr>
        <w:t>参与本</w:t>
      </w:r>
      <w:r>
        <w:rPr>
          <w:rFonts w:hint="eastAsia" w:ascii="宋体" w:hAnsi="宋体"/>
          <w:sz w:val="24"/>
          <w:highlight w:val="none"/>
          <w:lang w:eastAsia="zh-CN"/>
        </w:rPr>
        <w:t>机构</w:t>
      </w:r>
      <w:r>
        <w:rPr>
          <w:rFonts w:hint="eastAsia" w:ascii="宋体" w:hAnsi="宋体"/>
          <w:sz w:val="24"/>
          <w:highlight w:val="none"/>
        </w:rPr>
        <w:t>重大问题的决策，和行政领导一起抓好精神文明建设；领导本</w:t>
      </w:r>
      <w:r>
        <w:rPr>
          <w:rFonts w:hint="eastAsia" w:ascii="宋体" w:hAnsi="宋体"/>
          <w:sz w:val="24"/>
          <w:highlight w:val="none"/>
          <w:lang w:eastAsia="zh-CN"/>
        </w:rPr>
        <w:t>机构</w:t>
      </w:r>
      <w:r>
        <w:rPr>
          <w:rFonts w:hint="eastAsia" w:ascii="宋体" w:hAnsi="宋体"/>
          <w:sz w:val="24"/>
          <w:highlight w:val="none"/>
        </w:rPr>
        <w:t>群团组织，发挥他们联系群众的桥梁和纽带作用；加强与民主党派的联系，做好统战工作。</w:t>
      </w:r>
    </w:p>
    <w:p w14:paraId="22647C4B">
      <w:pPr>
        <w:spacing w:line="600" w:lineRule="exact"/>
        <w:ind w:firstLine="480" w:firstLineChars="200"/>
        <w:rPr>
          <w:rFonts w:ascii="宋体" w:hAnsi="宋体"/>
          <w:sz w:val="24"/>
        </w:rPr>
      </w:pPr>
      <w:r>
        <w:rPr>
          <w:rFonts w:hint="eastAsia" w:ascii="宋体" w:hAnsi="宋体"/>
          <w:sz w:val="24"/>
        </w:rPr>
        <w:t>9、做好党员群众的思想政治工作，推进精神文明建设；了解群众意见，维护群众正当权益，帮助群众解决实际困难。</w:t>
      </w:r>
    </w:p>
    <w:p w14:paraId="526304B5">
      <w:pPr>
        <w:spacing w:line="600" w:lineRule="exact"/>
        <w:ind w:firstLine="480" w:firstLineChars="200"/>
        <w:rPr>
          <w:rFonts w:ascii="宋体" w:hAnsi="宋体"/>
          <w:sz w:val="24"/>
        </w:rPr>
      </w:pPr>
      <w:r>
        <w:rPr>
          <w:rFonts w:hint="eastAsia" w:ascii="宋体" w:hAnsi="宋体"/>
          <w:sz w:val="24"/>
        </w:rPr>
        <w:t>10、完成上级党组织交办的其他工作。</w:t>
      </w:r>
    </w:p>
    <w:p w14:paraId="088CC1B9">
      <w:pPr>
        <w:jc w:val="center"/>
        <w:rPr>
          <w:rFonts w:hint="eastAsia" w:eastAsiaTheme="minorEastAsia"/>
          <w:b/>
          <w:sz w:val="28"/>
          <w:szCs w:val="28"/>
          <w:lang w:eastAsia="zh-CN"/>
        </w:rPr>
      </w:pPr>
      <w:bookmarkStart w:id="3" w:name="_Toc1999"/>
      <w:r>
        <w:rPr>
          <w:rFonts w:hint="eastAsia"/>
          <w:b/>
          <w:sz w:val="28"/>
          <w:szCs w:val="28"/>
        </w:rPr>
        <w:t>第四章、总干事、</w:t>
      </w:r>
      <w:bookmarkEnd w:id="3"/>
      <w:r>
        <w:rPr>
          <w:rFonts w:hint="eastAsia"/>
          <w:b/>
          <w:sz w:val="28"/>
          <w:szCs w:val="28"/>
          <w:lang w:eastAsia="zh-CN"/>
        </w:rPr>
        <w:t>高级服务总监</w:t>
      </w:r>
    </w:p>
    <w:p w14:paraId="49CADDAE">
      <w:pPr>
        <w:spacing w:line="600" w:lineRule="exact"/>
        <w:ind w:firstLine="482" w:firstLineChars="200"/>
        <w:rPr>
          <w:rFonts w:ascii="宋体" w:hAnsi="宋体" w:cs="宋体"/>
          <w:b/>
          <w:bCs/>
          <w:sz w:val="24"/>
        </w:rPr>
      </w:pPr>
      <w:r>
        <w:rPr>
          <w:rFonts w:hint="eastAsia" w:ascii="宋体" w:hAnsi="宋体" w:cs="宋体"/>
          <w:b/>
          <w:bCs/>
          <w:sz w:val="24"/>
        </w:rPr>
        <w:t>4.1总干事</w:t>
      </w:r>
    </w:p>
    <w:p w14:paraId="106CCF6D">
      <w:pPr>
        <w:spacing w:line="600" w:lineRule="exact"/>
        <w:ind w:firstLine="480" w:firstLineChars="200"/>
        <w:rPr>
          <w:sz w:val="24"/>
        </w:rPr>
      </w:pPr>
      <w:r>
        <w:rPr>
          <w:rFonts w:hint="eastAsia" w:ascii="宋体" w:hAnsi="宋体" w:cs="宋体"/>
          <w:sz w:val="24"/>
        </w:rPr>
        <w:t>研究制订中心长期发展策略,组织制订/修订中心相关管理制度,并负责监督执行。组织制订中心年度计划,负责组织实施,在主持中心各部门</w:t>
      </w:r>
      <w:r>
        <w:rPr>
          <w:rFonts w:hint="eastAsia" w:ascii="宋体" w:hAnsi="宋体" w:cs="宋体"/>
          <w:sz w:val="24"/>
          <w:highlight w:val="none"/>
        </w:rPr>
        <w:t>日</w:t>
      </w:r>
      <w:r>
        <w:rPr>
          <w:rFonts w:hint="eastAsia" w:ascii="宋体" w:hAnsi="宋体" w:cs="宋体"/>
          <w:sz w:val="24"/>
          <w:highlight w:val="none"/>
          <w:lang w:eastAsia="zh-CN"/>
        </w:rPr>
        <w:t>常</w:t>
      </w:r>
      <w:r>
        <w:rPr>
          <w:rFonts w:hint="eastAsia" w:ascii="宋体" w:hAnsi="宋体" w:cs="宋体"/>
          <w:sz w:val="24"/>
          <w:highlight w:val="none"/>
        </w:rPr>
        <w:t>管</w:t>
      </w:r>
      <w:r>
        <w:rPr>
          <w:rFonts w:hint="eastAsia" w:ascii="宋体" w:hAnsi="宋体" w:cs="宋体"/>
          <w:sz w:val="24"/>
        </w:rPr>
        <w:t>理工作的基础上,负责全面执行理事会所作出的有关中心发展的各项决议。对管理人员的任免和奖惩有决定权,同时负责召集和主持重大会议,检查、监督和协调各部门工作等行政事务，做好与中心，与理事会,监事会关系,及时向理事通报中心重大事项。代表中心出席区、市</w:t>
      </w:r>
      <w:r>
        <w:rPr>
          <w:rFonts w:hint="eastAsia"/>
          <w:sz w:val="24"/>
        </w:rPr>
        <w:t>、省等国家或联合会议,发展及参与本地/国家政府部门及有关组织的网络,以确保服务能顺利及迅速推行,并推广机构的工作。</w:t>
      </w:r>
    </w:p>
    <w:p w14:paraId="70DC407C">
      <w:pPr>
        <w:spacing w:line="600" w:lineRule="exact"/>
        <w:ind w:firstLine="482" w:firstLineChars="200"/>
        <w:rPr>
          <w:rFonts w:hint="eastAsia" w:ascii="宋体" w:hAnsi="宋体" w:cs="宋体" w:eastAsiaTheme="minorEastAsia"/>
          <w:b/>
          <w:bCs/>
          <w:sz w:val="24"/>
          <w:lang w:eastAsia="zh-CN"/>
        </w:rPr>
      </w:pPr>
      <w:r>
        <w:rPr>
          <w:rFonts w:hint="eastAsia" w:ascii="宋体" w:hAnsi="宋体" w:cs="宋体"/>
          <w:b/>
          <w:bCs/>
          <w:sz w:val="24"/>
        </w:rPr>
        <w:t>4.2</w:t>
      </w:r>
      <w:r>
        <w:rPr>
          <w:rFonts w:hint="eastAsia" w:ascii="宋体" w:hAnsi="宋体" w:cs="宋体"/>
          <w:b/>
          <w:bCs/>
          <w:sz w:val="24"/>
          <w:lang w:eastAsia="zh-CN"/>
        </w:rPr>
        <w:t>高级服务总监</w:t>
      </w:r>
    </w:p>
    <w:p w14:paraId="6B75FD92">
      <w:pPr>
        <w:spacing w:line="600" w:lineRule="exact"/>
        <w:ind w:firstLine="480" w:firstLineChars="200"/>
        <w:rPr>
          <w:rFonts w:hint="eastAsia" w:ascii="宋体" w:hAnsi="宋体" w:cs="宋体"/>
          <w:sz w:val="24"/>
          <w:highlight w:val="none"/>
          <w:lang w:eastAsia="zh-CN"/>
        </w:rPr>
      </w:pPr>
      <w:r>
        <w:rPr>
          <w:rFonts w:hint="eastAsia" w:ascii="宋体" w:hAnsi="宋体" w:cs="宋体"/>
          <w:sz w:val="24"/>
        </w:rPr>
        <w:t>协助理事会</w:t>
      </w:r>
      <w:r>
        <w:rPr>
          <w:rFonts w:hint="eastAsia" w:ascii="宋体" w:hAnsi="宋体" w:cs="宋体"/>
          <w:sz w:val="24"/>
          <w:lang w:eastAsia="zh-CN"/>
        </w:rPr>
        <w:t>（</w:t>
      </w:r>
      <w:r>
        <w:rPr>
          <w:rFonts w:hint="eastAsia" w:ascii="宋体" w:hAnsi="宋体" w:cs="宋体"/>
          <w:sz w:val="24"/>
        </w:rPr>
        <w:t>总</w:t>
      </w:r>
      <w:r>
        <w:rPr>
          <w:rFonts w:hint="eastAsia" w:ascii="宋体" w:hAnsi="宋体" w:cs="宋体"/>
          <w:sz w:val="24"/>
          <w:lang w:eastAsia="zh-CN"/>
        </w:rPr>
        <w:t>干</w:t>
      </w:r>
      <w:r>
        <w:rPr>
          <w:rFonts w:hint="eastAsia" w:ascii="宋体" w:hAnsi="宋体" w:cs="宋体"/>
          <w:sz w:val="24"/>
        </w:rPr>
        <w:t>事)研究制订中心长期发展策略,协助理事会(总干事)组织制订/修订中心相关管理制度。召开工作会议(督导会议/机构例会/小组长会议/社工会议),及时了解各岗位的总体服务情况反馈给上级主管人员、总干事及理事会,并作出妥善安持。协助理事会(总干事)负责主持中心服务相关管理工作(各部门的职责落实及情况跟进) ,发掘,联络各种与服务相关的社会资源,做好中心战略性项目的开发,实务经验总结与理论研究，做好相关内容的审核评估工作及上级主管部门/机构/用人单位交代的其他工作。做好机构季度用人单位工作汇报,协调机构与部分用人单位之间的关系,对现有的同题进行总结,提出建议,反馈给用人单位及行业协会等相</w:t>
      </w:r>
      <w:r>
        <w:rPr>
          <w:rFonts w:hint="eastAsia" w:ascii="宋体" w:hAnsi="宋体" w:cs="宋体"/>
          <w:sz w:val="24"/>
          <w:highlight w:val="none"/>
        </w:rPr>
        <w:t>关</w:t>
      </w:r>
      <w:r>
        <w:rPr>
          <w:rFonts w:hint="eastAsia" w:ascii="宋体" w:hAnsi="宋体" w:cs="宋体"/>
          <w:sz w:val="24"/>
          <w:highlight w:val="none"/>
          <w:lang w:eastAsia="zh-CN"/>
        </w:rPr>
        <w:t>单</w:t>
      </w:r>
      <w:r>
        <w:rPr>
          <w:rFonts w:hint="eastAsia" w:ascii="宋体" w:hAnsi="宋体" w:cs="宋体"/>
          <w:sz w:val="24"/>
          <w:highlight w:val="none"/>
        </w:rPr>
        <w:t>位,并代表团队</w:t>
      </w:r>
      <w:r>
        <w:rPr>
          <w:rFonts w:hint="eastAsia" w:ascii="宋体" w:hAnsi="宋体" w:cs="宋体"/>
          <w:sz w:val="24"/>
          <w:highlight w:val="none"/>
          <w:lang w:eastAsia="zh-CN"/>
        </w:rPr>
        <w:t>向各方进行</w:t>
      </w:r>
      <w:r>
        <w:rPr>
          <w:rFonts w:hint="eastAsia" w:ascii="宋体" w:hAnsi="宋体" w:cs="宋体"/>
          <w:sz w:val="24"/>
          <w:highlight w:val="none"/>
        </w:rPr>
        <w:t>汇报</w:t>
      </w:r>
      <w:r>
        <w:rPr>
          <w:rFonts w:hint="eastAsia" w:ascii="宋体" w:hAnsi="宋体" w:cs="宋体"/>
          <w:sz w:val="24"/>
          <w:highlight w:val="none"/>
          <w:lang w:eastAsia="zh-CN"/>
        </w:rPr>
        <w:t>。</w:t>
      </w:r>
    </w:p>
    <w:p w14:paraId="7D97F0B9">
      <w:pPr>
        <w:jc w:val="center"/>
        <w:rPr>
          <w:b/>
          <w:sz w:val="28"/>
          <w:szCs w:val="28"/>
        </w:rPr>
      </w:pPr>
      <w:bookmarkStart w:id="4" w:name="_Toc5279"/>
      <w:r>
        <w:rPr>
          <w:rFonts w:hint="eastAsia"/>
          <w:b/>
          <w:sz w:val="28"/>
          <w:szCs w:val="28"/>
        </w:rPr>
        <w:t>第五章、督导委员会</w:t>
      </w:r>
      <w:bookmarkEnd w:id="4"/>
    </w:p>
    <w:p w14:paraId="46F7A583">
      <w:pPr>
        <w:spacing w:line="600" w:lineRule="exact"/>
        <w:ind w:firstLine="480" w:firstLineChars="200"/>
        <w:rPr>
          <w:rFonts w:ascii="宋体" w:hAnsi="宋体" w:cs="宋体"/>
          <w:sz w:val="24"/>
        </w:rPr>
      </w:pPr>
      <w:r>
        <w:rPr>
          <w:rFonts w:hint="eastAsia" w:ascii="宋体" w:hAnsi="宋体" w:cs="宋体"/>
          <w:sz w:val="24"/>
        </w:rPr>
        <w:t>乐雅社工督导委员会由乐雅社工督导助理、见习督导、督导组成。委员会是机构服务管理的补充力量，旨在提升机构督导水平，完善社工人才培养及监管机制，提升一线社工服务能力，从而促进机构服务质量的发展。督导委员会跟从机构战略规划，推动机构服务品牌及服务研究的发展，并及时为机构建言献策，促进机构管理水平的提升。</w:t>
      </w:r>
    </w:p>
    <w:p w14:paraId="725282FA">
      <w:pPr>
        <w:jc w:val="center"/>
        <w:rPr>
          <w:b/>
          <w:sz w:val="28"/>
          <w:szCs w:val="28"/>
        </w:rPr>
      </w:pPr>
      <w:bookmarkStart w:id="5" w:name="_Toc5267"/>
      <w:r>
        <w:rPr>
          <w:rFonts w:hint="eastAsia"/>
          <w:b/>
          <w:sz w:val="28"/>
          <w:szCs w:val="28"/>
        </w:rPr>
        <w:t>第六章、财务</w:t>
      </w:r>
      <w:bookmarkEnd w:id="5"/>
    </w:p>
    <w:p w14:paraId="4EDB41ED">
      <w:pPr>
        <w:spacing w:line="600" w:lineRule="exact"/>
        <w:rPr>
          <w:rFonts w:ascii="宋体" w:hAnsi="宋体" w:cs="宋体"/>
          <w:sz w:val="24"/>
        </w:rPr>
      </w:pPr>
      <w:r>
        <w:rPr>
          <w:rFonts w:hint="eastAsia" w:ascii="宋体" w:hAnsi="宋体" w:cs="宋体"/>
          <w:sz w:val="24"/>
        </w:rPr>
        <w:t>一、职责概要</w:t>
      </w:r>
    </w:p>
    <w:p w14:paraId="36A3E99A">
      <w:pPr>
        <w:spacing w:line="600" w:lineRule="exact"/>
        <w:ind w:firstLine="480" w:firstLineChars="200"/>
        <w:rPr>
          <w:rFonts w:ascii="宋体" w:hAnsi="宋体" w:cs="宋体"/>
          <w:sz w:val="24"/>
        </w:rPr>
      </w:pPr>
      <w:r>
        <w:rPr>
          <w:rFonts w:hint="eastAsia" w:ascii="宋体" w:hAnsi="宋体" w:cs="宋体"/>
          <w:sz w:val="24"/>
        </w:rPr>
        <w:t>根据《民办非企业会计制度》并结合制定财务管理制度及相关财务细则，用以规范机构的财务工作，使机构的财务始终不偏离公益性的原则发展；负责服务系统中财务版块的使用、管理和维护；按时处理日常财务工作。</w:t>
      </w:r>
    </w:p>
    <w:p w14:paraId="7DB5E501">
      <w:pPr>
        <w:spacing w:line="600" w:lineRule="exact"/>
        <w:rPr>
          <w:rFonts w:ascii="宋体" w:hAnsi="宋体" w:cs="宋体"/>
          <w:sz w:val="24"/>
        </w:rPr>
      </w:pPr>
      <w:r>
        <w:rPr>
          <w:rFonts w:hint="eastAsia" w:ascii="宋体" w:hAnsi="宋体" w:cs="宋体"/>
          <w:sz w:val="24"/>
        </w:rPr>
        <w:t>二、工作内容</w:t>
      </w:r>
    </w:p>
    <w:p w14:paraId="787FC315">
      <w:pPr>
        <w:spacing w:line="600" w:lineRule="exact"/>
        <w:ind w:firstLine="480" w:firstLineChars="200"/>
        <w:rPr>
          <w:rFonts w:ascii="宋体" w:hAnsi="宋体" w:cs="宋体"/>
          <w:sz w:val="24"/>
        </w:rPr>
      </w:pPr>
      <w:r>
        <w:rPr>
          <w:rFonts w:hint="eastAsia" w:ascii="宋体" w:hAnsi="宋体" w:cs="宋体"/>
          <w:sz w:val="24"/>
        </w:rPr>
        <w:t>1、制定机构财务管理制度及相关财务细则；</w:t>
      </w:r>
    </w:p>
    <w:p w14:paraId="27B17622">
      <w:pPr>
        <w:spacing w:line="600" w:lineRule="exact"/>
        <w:ind w:firstLine="480" w:firstLineChars="200"/>
        <w:rPr>
          <w:rFonts w:ascii="宋体" w:hAnsi="宋体" w:cs="宋体"/>
          <w:sz w:val="24"/>
        </w:rPr>
      </w:pPr>
      <w:r>
        <w:rPr>
          <w:rFonts w:hint="eastAsia" w:ascii="宋体" w:hAnsi="宋体" w:cs="宋体"/>
          <w:sz w:val="24"/>
        </w:rPr>
        <w:t>2、执行机构制定的薪酬福利制度，并对薪酬福利说明解释；依据各方面的变化及时提出调整同工薪酬方案的建议，积极落实各项同工福利；</w:t>
      </w:r>
    </w:p>
    <w:p w14:paraId="55404AA0">
      <w:pPr>
        <w:spacing w:line="600" w:lineRule="exact"/>
        <w:ind w:firstLine="480" w:firstLineChars="200"/>
        <w:rPr>
          <w:rFonts w:ascii="宋体" w:hAnsi="宋体" w:cs="宋体"/>
          <w:sz w:val="24"/>
        </w:rPr>
      </w:pPr>
      <w:r>
        <w:rPr>
          <w:rFonts w:hint="eastAsia" w:ascii="宋体" w:hAnsi="宋体" w:cs="宋体"/>
          <w:sz w:val="24"/>
        </w:rPr>
        <w:t>3、处理账务；</w:t>
      </w:r>
    </w:p>
    <w:p w14:paraId="1674CB98">
      <w:pPr>
        <w:spacing w:line="600" w:lineRule="exact"/>
        <w:ind w:firstLine="480" w:firstLineChars="200"/>
        <w:rPr>
          <w:rFonts w:ascii="宋体" w:hAnsi="宋体" w:cs="宋体"/>
          <w:sz w:val="24"/>
        </w:rPr>
      </w:pPr>
      <w:r>
        <w:rPr>
          <w:rFonts w:hint="eastAsia" w:ascii="宋体" w:hAnsi="宋体" w:cs="宋体"/>
          <w:sz w:val="24"/>
        </w:rPr>
        <w:t>4、编制会计凭证和会计报表，装订会计凭证；</w:t>
      </w:r>
    </w:p>
    <w:p w14:paraId="336158AF">
      <w:pPr>
        <w:spacing w:line="600" w:lineRule="exact"/>
        <w:ind w:firstLine="480" w:firstLineChars="200"/>
        <w:rPr>
          <w:rFonts w:ascii="宋体" w:hAnsi="宋体" w:cs="宋体"/>
          <w:sz w:val="24"/>
        </w:rPr>
      </w:pPr>
      <w:r>
        <w:rPr>
          <w:rFonts w:hint="eastAsia" w:ascii="宋体" w:hAnsi="宋体" w:cs="宋体"/>
          <w:sz w:val="24"/>
        </w:rPr>
        <w:t>5、每月上报税务资料；</w:t>
      </w:r>
    </w:p>
    <w:p w14:paraId="5547587B">
      <w:pPr>
        <w:spacing w:line="600" w:lineRule="exact"/>
        <w:ind w:firstLine="480" w:firstLineChars="200"/>
        <w:rPr>
          <w:rFonts w:ascii="宋体" w:hAnsi="宋体" w:cs="宋体"/>
          <w:sz w:val="24"/>
        </w:rPr>
      </w:pPr>
      <w:r>
        <w:rPr>
          <w:rFonts w:hint="eastAsia" w:ascii="宋体" w:hAnsi="宋体" w:cs="宋体"/>
          <w:sz w:val="24"/>
        </w:rPr>
        <w:t>6、处理现金以及银行报销单据，编制现金银行日记账；</w:t>
      </w:r>
    </w:p>
    <w:p w14:paraId="5DE201BA">
      <w:pPr>
        <w:spacing w:line="600" w:lineRule="exact"/>
        <w:ind w:firstLine="480" w:firstLineChars="200"/>
        <w:rPr>
          <w:rFonts w:ascii="宋体" w:hAnsi="宋体" w:cs="宋体"/>
          <w:sz w:val="24"/>
        </w:rPr>
      </w:pPr>
      <w:r>
        <w:rPr>
          <w:rFonts w:hint="eastAsia" w:ascii="宋体" w:hAnsi="宋体" w:cs="宋体"/>
          <w:sz w:val="24"/>
        </w:rPr>
        <w:t>7、负责管理政府购买社工服务经费的资金跟进、使用；</w:t>
      </w:r>
    </w:p>
    <w:p w14:paraId="523DCDA1">
      <w:pPr>
        <w:spacing w:line="600" w:lineRule="exact"/>
        <w:ind w:firstLine="480" w:firstLineChars="200"/>
        <w:rPr>
          <w:rFonts w:ascii="宋体" w:hAnsi="宋体" w:cs="宋体"/>
          <w:sz w:val="24"/>
        </w:rPr>
      </w:pPr>
      <w:r>
        <w:rPr>
          <w:rFonts w:hint="eastAsia" w:ascii="宋体" w:hAnsi="宋体" w:cs="宋体"/>
          <w:sz w:val="24"/>
        </w:rPr>
        <w:t>8、保管使用财务印章、票据、记账凭证、账簿等；</w:t>
      </w:r>
    </w:p>
    <w:p w14:paraId="439F41F9">
      <w:pPr>
        <w:spacing w:line="600" w:lineRule="exact"/>
        <w:ind w:firstLine="480" w:firstLineChars="200"/>
        <w:rPr>
          <w:rFonts w:ascii="宋体" w:hAnsi="宋体" w:cs="宋体"/>
          <w:sz w:val="24"/>
        </w:rPr>
      </w:pPr>
      <w:r>
        <w:rPr>
          <w:rFonts w:hint="eastAsia" w:ascii="宋体" w:hAnsi="宋体" w:cs="宋体"/>
          <w:sz w:val="24"/>
        </w:rPr>
        <w:t>9、发放机构全体同工工资。</w:t>
      </w:r>
    </w:p>
    <w:p w14:paraId="50CF71D4">
      <w:pPr>
        <w:spacing w:line="600" w:lineRule="exact"/>
        <w:rPr>
          <w:rFonts w:ascii="宋体" w:hAnsi="宋体" w:cs="宋体"/>
          <w:sz w:val="24"/>
        </w:rPr>
      </w:pPr>
      <w:r>
        <w:rPr>
          <w:rFonts w:hint="eastAsia" w:ascii="宋体" w:hAnsi="宋体" w:cs="宋体"/>
          <w:sz w:val="24"/>
        </w:rPr>
        <w:t>三、其他工作</w:t>
      </w:r>
    </w:p>
    <w:p w14:paraId="087913C9">
      <w:pPr>
        <w:spacing w:line="600" w:lineRule="exact"/>
        <w:ind w:firstLine="480" w:firstLineChars="200"/>
        <w:rPr>
          <w:rFonts w:ascii="宋体" w:hAnsi="宋体" w:cs="宋体"/>
          <w:sz w:val="24"/>
        </w:rPr>
      </w:pPr>
      <w:r>
        <w:rPr>
          <w:rFonts w:hint="eastAsia" w:ascii="宋体" w:hAnsi="宋体" w:cs="宋体"/>
          <w:sz w:val="24"/>
        </w:rPr>
        <w:t>1、与</w:t>
      </w:r>
      <w:r>
        <w:rPr>
          <w:rFonts w:hint="eastAsia" w:ascii="宋体" w:hAnsi="宋体" w:cs="宋体"/>
          <w:sz w:val="24"/>
          <w:lang w:eastAsia="zh-CN"/>
        </w:rPr>
        <w:t>办公室</w:t>
      </w:r>
      <w:r>
        <w:rPr>
          <w:rFonts w:hint="eastAsia" w:ascii="宋体" w:hAnsi="宋体" w:cs="宋体"/>
          <w:sz w:val="24"/>
        </w:rPr>
        <w:t>协调机构全体员工调动情况以及相关福利发放工作；</w:t>
      </w:r>
    </w:p>
    <w:p w14:paraId="66819FB2">
      <w:pPr>
        <w:spacing w:line="600" w:lineRule="exact"/>
        <w:ind w:firstLine="480" w:firstLineChars="200"/>
        <w:rPr>
          <w:rFonts w:ascii="宋体" w:hAnsi="宋体" w:cs="宋体"/>
          <w:sz w:val="24"/>
        </w:rPr>
      </w:pPr>
      <w:r>
        <w:rPr>
          <w:rFonts w:hint="eastAsia" w:ascii="宋体" w:hAnsi="宋体" w:cs="宋体"/>
          <w:sz w:val="24"/>
        </w:rPr>
        <w:t>2、与服务部协调社工活动报销工作的核定，以及服务合同中涉及财务相关工作；</w:t>
      </w:r>
    </w:p>
    <w:p w14:paraId="755AAD1F">
      <w:pPr>
        <w:spacing w:line="600" w:lineRule="exact"/>
        <w:ind w:firstLine="480" w:firstLineChars="200"/>
        <w:rPr>
          <w:rFonts w:ascii="宋体" w:hAnsi="宋体" w:cs="宋体"/>
          <w:sz w:val="24"/>
        </w:rPr>
      </w:pPr>
      <w:r>
        <w:rPr>
          <w:rFonts w:hint="eastAsia" w:ascii="宋体" w:hAnsi="宋体" w:cs="宋体"/>
          <w:sz w:val="24"/>
        </w:rPr>
        <w:t>3、协调绩效发放及</w:t>
      </w:r>
      <w:r>
        <w:rPr>
          <w:rFonts w:hint="eastAsia" w:ascii="宋体" w:hAnsi="宋体" w:cs="宋体"/>
          <w:sz w:val="24"/>
          <w:lang w:eastAsia="zh-CN"/>
        </w:rPr>
        <w:t>财务</w:t>
      </w:r>
      <w:r>
        <w:rPr>
          <w:rFonts w:hint="eastAsia" w:ascii="宋体" w:hAnsi="宋体" w:cs="宋体"/>
          <w:sz w:val="24"/>
        </w:rPr>
        <w:t>评估工作安排；</w:t>
      </w:r>
    </w:p>
    <w:p w14:paraId="6016E9DE">
      <w:pPr>
        <w:spacing w:line="600" w:lineRule="exact"/>
        <w:ind w:firstLine="480" w:firstLineChars="200"/>
        <w:rPr>
          <w:rFonts w:ascii="宋体" w:hAnsi="宋体" w:cs="宋体"/>
          <w:sz w:val="24"/>
        </w:rPr>
      </w:pPr>
      <w:r>
        <w:rPr>
          <w:rFonts w:hint="eastAsia" w:ascii="宋体" w:hAnsi="宋体" w:cs="宋体"/>
          <w:sz w:val="24"/>
        </w:rPr>
        <w:t>4、与督导委员会协调督导的任免与补贴发放工作。</w:t>
      </w:r>
    </w:p>
    <w:p w14:paraId="7EB30C48">
      <w:pPr>
        <w:jc w:val="center"/>
        <w:rPr>
          <w:b/>
          <w:sz w:val="28"/>
          <w:szCs w:val="28"/>
        </w:rPr>
      </w:pPr>
      <w:bookmarkStart w:id="6" w:name="_Toc28032"/>
      <w:r>
        <w:rPr>
          <w:rFonts w:hint="eastAsia"/>
          <w:b/>
          <w:sz w:val="28"/>
          <w:szCs w:val="28"/>
        </w:rPr>
        <w:t>第七章、办公室</w:t>
      </w:r>
      <w:bookmarkEnd w:id="6"/>
    </w:p>
    <w:p w14:paraId="349F0F27">
      <w:pPr>
        <w:spacing w:line="600" w:lineRule="exact"/>
        <w:ind w:firstLine="450"/>
        <w:jc w:val="left"/>
        <w:rPr>
          <w:rFonts w:ascii="宋体" w:hAnsi="宋体" w:cs="宋体"/>
          <w:sz w:val="24"/>
        </w:rPr>
      </w:pPr>
      <w:r>
        <w:rPr>
          <w:rFonts w:hint="eastAsia" w:ascii="宋体" w:hAnsi="宋体" w:cs="宋体"/>
          <w:sz w:val="24"/>
        </w:rPr>
        <w:t>机构办公室设有三个职能，分别为行政助理、人力资源、品牌宣传。协助总(副)干事安排中心日常管理工作；协助总(副)干事组织制订/修订中心相关管理制度，完善各种办事流程及规范(出车、盖章、文件审阅、物资经审批及申请、图书管理、办公税仪培训等),并负责监督执行；负责指导中心人力资源工作,保证人力资源供给；协助总(副)干事监督行政部各部门业务开展；组织安排中心各类会议,做好会议记录,整理会议纪要；拜访用人单位、组织接待中心重要来访者,负责中心所有外事活动的协调和计划安排；负责指导起草以中心名义上报或下发的重要文件、报告、合同等,处理行政方面的重要函件；负责</w:t>
      </w:r>
      <w:r>
        <w:rPr>
          <w:rFonts w:hint="eastAsia" w:ascii="宋体" w:hAnsi="宋体" w:cs="宋体"/>
          <w:sz w:val="24"/>
          <w:lang w:eastAsia="zh-CN"/>
        </w:rPr>
        <w:t>办公室</w:t>
      </w:r>
      <w:r>
        <w:rPr>
          <w:rFonts w:hint="eastAsia" w:ascii="宋体" w:hAnsi="宋体" w:cs="宋体"/>
          <w:sz w:val="24"/>
        </w:rPr>
        <w:t>各部门的绩效考核工作；负责中心各类年检、中心各类申报工作；负责中心对外合作合同起草、签订；做好机构的宣传规划,跟进宣传部门宣传工作的进展；做好员工关怀、工作环境适应、生活与学习成长工作；做好机构员工安全预防及危机事件处理工作；完成总(副)干事交办的其它工作。</w:t>
      </w:r>
    </w:p>
    <w:p w14:paraId="2D377C6A">
      <w:pPr>
        <w:spacing w:line="600" w:lineRule="exact"/>
        <w:ind w:firstLine="450"/>
        <w:jc w:val="left"/>
        <w:rPr>
          <w:rFonts w:ascii="宋体" w:hAnsi="宋体" w:cs="宋体"/>
          <w:sz w:val="24"/>
        </w:rPr>
      </w:pPr>
    </w:p>
    <w:p w14:paraId="36595E8D">
      <w:pPr>
        <w:jc w:val="center"/>
        <w:rPr>
          <w:b/>
          <w:sz w:val="28"/>
          <w:szCs w:val="28"/>
        </w:rPr>
      </w:pPr>
      <w:bookmarkStart w:id="7" w:name="_Toc13453"/>
      <w:r>
        <w:rPr>
          <w:rFonts w:hint="eastAsia"/>
          <w:b/>
          <w:sz w:val="28"/>
          <w:szCs w:val="28"/>
        </w:rPr>
        <w:t>第八章、服务部</w:t>
      </w:r>
      <w:bookmarkEnd w:id="7"/>
    </w:p>
    <w:p w14:paraId="4161E6C4">
      <w:pPr>
        <w:spacing w:line="600" w:lineRule="exact"/>
        <w:ind w:firstLine="480" w:firstLineChars="200"/>
        <w:jc w:val="left"/>
        <w:rPr>
          <w:rFonts w:ascii="宋体" w:hAnsi="宋体" w:cs="宋体"/>
          <w:sz w:val="24"/>
        </w:rPr>
      </w:pPr>
      <w:r>
        <w:rPr>
          <w:rFonts w:hint="eastAsia" w:ascii="宋体" w:hAnsi="宋体" w:cs="宋体"/>
          <w:sz w:val="24"/>
        </w:rPr>
        <w:t>服务部主要是负责市直岗位、镇街岗位、临时性民政业务等服务运营、监管及拓展以及完成总(副)干事交办的其它工作。负责机构嵌入式社会工作服务岗位的服务管理与服务发展，积极探索与推动社会工作与合作单位间特性和需求的结合，引导员工在遵守服务单位规范与制度的的前提下，寻求社会工作服务的角色和发展空间，及时发现问题，整合资源，促成改变。引导派驻社工促进服务单位及指定服务对象的发展。</w:t>
      </w:r>
    </w:p>
    <w:p w14:paraId="177FE4DD">
      <w:pPr>
        <w:spacing w:line="600" w:lineRule="exact"/>
        <w:ind w:firstLine="480" w:firstLineChars="200"/>
        <w:jc w:val="left"/>
        <w:rPr>
          <w:rFonts w:ascii="宋体" w:hAnsi="宋体" w:cs="宋体"/>
          <w:sz w:val="24"/>
        </w:rPr>
      </w:pPr>
      <w:r>
        <w:rPr>
          <w:rFonts w:hint="eastAsia" w:ascii="宋体" w:hAnsi="宋体" w:cs="宋体"/>
          <w:sz w:val="24"/>
        </w:rPr>
        <w:t>负责派驻服务点的社会工作者的服务指引与服务监管，负责服务人员的培训、指导与考核，不断提升工作员服务质素，丰富员工专业技能，支持员工专业成长，致力于使员工通过专业服务促进服务群体及个人的改善，达致与服务单位共赢的目标。</w:t>
      </w:r>
    </w:p>
    <w:p w14:paraId="3F7F4D64">
      <w:pPr>
        <w:spacing w:line="600" w:lineRule="exact"/>
        <w:jc w:val="left"/>
        <w:rPr>
          <w:rFonts w:ascii="宋体" w:hAnsi="宋体" w:cs="宋体"/>
          <w:sz w:val="24"/>
        </w:rPr>
      </w:pPr>
      <w:r>
        <w:rPr>
          <w:rFonts w:hint="eastAsia" w:ascii="宋体" w:hAnsi="宋体" w:cs="宋体"/>
          <w:sz w:val="24"/>
        </w:rPr>
        <w:t xml:space="preserve">    负责部门社会工作服务技巧、服务模式的探索与研究，负责部门宣传工作的推进，特别是大型服务、特色品牌的推广与宣传，指导机构宣传部，制作出符合部门实际需求的宣传品。推动机构在行业的知名度，为机构树立品牌和形象做努力。</w:t>
      </w:r>
    </w:p>
    <w:p w14:paraId="15B280C7">
      <w:pPr>
        <w:jc w:val="center"/>
        <w:rPr>
          <w:b/>
          <w:sz w:val="28"/>
          <w:szCs w:val="28"/>
        </w:rPr>
      </w:pPr>
      <w:bookmarkStart w:id="8" w:name="_Toc5464"/>
      <w:r>
        <w:rPr>
          <w:rFonts w:hint="eastAsia"/>
          <w:b/>
          <w:sz w:val="28"/>
          <w:szCs w:val="28"/>
        </w:rPr>
        <w:t>第九章、项目部</w:t>
      </w:r>
      <w:bookmarkEnd w:id="8"/>
    </w:p>
    <w:p w14:paraId="153309F3">
      <w:pPr>
        <w:spacing w:line="600" w:lineRule="exact"/>
        <w:ind w:firstLine="480" w:firstLineChars="200"/>
        <w:jc w:val="left"/>
        <w:rPr>
          <w:rFonts w:ascii="宋体" w:hAnsi="宋体" w:cs="宋体"/>
          <w:sz w:val="24"/>
        </w:rPr>
      </w:pPr>
      <w:r>
        <w:rPr>
          <w:rFonts w:hint="eastAsia" w:ascii="宋体" w:hAnsi="宋体" w:cs="宋体"/>
          <w:sz w:val="24"/>
        </w:rPr>
        <w:t>项目部主要是负责社区综合中心、居家养老项目、残疾人康复就业服务中心领域、其他创投类项目的项目运营、监管及拓展以及完成总(副)干事交办的其它工作。主要包括有完善人员管理、服务监管与评估等制度，规范服务中心各项目服务及项目工作人员行为，明确项目工作人员的权限与责任，保证项目的正常运用及服务质素的完成；同工发展，通过项目人员的培训、指导与考核，不断提升同工服务质素，丰富同工专业技能，支持同工专业成长，有效推动项目实施；服务拓展，根据政策导向及需求，积极推广和拓展项目领域；项目服务探索与研究，根据服务点的具体情况，积极探索和总结适合的项目运用模式等。</w:t>
      </w:r>
    </w:p>
    <w:p w14:paraId="54454745">
      <w:r>
        <w:rPr>
          <w:rFonts w:hint="eastAsia"/>
          <w:b/>
          <w:sz w:val="28"/>
          <w:szCs w:val="28"/>
        </w:rPr>
        <w:t>三、具体分工</w:t>
      </w:r>
    </w:p>
    <w:tbl>
      <w:tblPr>
        <w:tblStyle w:val="8"/>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2"/>
        <w:gridCol w:w="2723"/>
        <w:gridCol w:w="3910"/>
      </w:tblGrid>
      <w:tr w14:paraId="60F8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tcBorders>
              <w:top w:val="single" w:color="auto" w:sz="4" w:space="0"/>
            </w:tcBorders>
            <w:vAlign w:val="center"/>
          </w:tcPr>
          <w:p w14:paraId="6D9AEDD0">
            <w:pPr>
              <w:contextualSpacing/>
              <w:jc w:val="center"/>
              <w:rPr>
                <w:b/>
                <w:bCs/>
                <w:sz w:val="24"/>
                <w:szCs w:val="32"/>
              </w:rPr>
            </w:pPr>
            <w:r>
              <w:rPr>
                <w:rFonts w:hint="eastAsia"/>
                <w:b/>
                <w:bCs/>
                <w:sz w:val="24"/>
                <w:szCs w:val="32"/>
              </w:rPr>
              <w:t>所属部门</w:t>
            </w:r>
          </w:p>
        </w:tc>
        <w:tc>
          <w:tcPr>
            <w:tcW w:w="2723" w:type="dxa"/>
            <w:tcBorders>
              <w:top w:val="single" w:color="auto" w:sz="4" w:space="0"/>
            </w:tcBorders>
            <w:vAlign w:val="center"/>
          </w:tcPr>
          <w:p w14:paraId="2B01242F">
            <w:pPr>
              <w:contextualSpacing/>
              <w:jc w:val="center"/>
              <w:rPr>
                <w:b/>
                <w:bCs/>
                <w:sz w:val="24"/>
                <w:szCs w:val="32"/>
              </w:rPr>
            </w:pPr>
            <w:r>
              <w:rPr>
                <w:rFonts w:hint="eastAsia"/>
                <w:b/>
                <w:bCs/>
                <w:sz w:val="24"/>
                <w:szCs w:val="32"/>
              </w:rPr>
              <w:t>姓名</w:t>
            </w:r>
          </w:p>
        </w:tc>
        <w:tc>
          <w:tcPr>
            <w:tcW w:w="3910" w:type="dxa"/>
            <w:tcBorders>
              <w:top w:val="single" w:color="auto" w:sz="4" w:space="0"/>
            </w:tcBorders>
            <w:vAlign w:val="center"/>
          </w:tcPr>
          <w:p w14:paraId="5E58F299">
            <w:pPr>
              <w:contextualSpacing/>
              <w:jc w:val="center"/>
              <w:rPr>
                <w:b/>
                <w:bCs/>
                <w:sz w:val="24"/>
                <w:szCs w:val="32"/>
              </w:rPr>
            </w:pPr>
            <w:r>
              <w:rPr>
                <w:rFonts w:hint="eastAsia"/>
                <w:b/>
                <w:bCs/>
                <w:sz w:val="24"/>
                <w:szCs w:val="32"/>
              </w:rPr>
              <w:t>具体工作职务</w:t>
            </w:r>
          </w:p>
        </w:tc>
      </w:tr>
      <w:tr w14:paraId="7949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restart"/>
            <w:vAlign w:val="center"/>
          </w:tcPr>
          <w:p w14:paraId="7B8ADBBF">
            <w:pPr>
              <w:pStyle w:val="13"/>
              <w:ind w:firstLine="0" w:firstLineChars="0"/>
              <w:contextualSpacing/>
              <w:jc w:val="center"/>
            </w:pPr>
            <w:r>
              <w:rPr>
                <w:rFonts w:hint="eastAsia"/>
              </w:rPr>
              <w:t>理事会</w:t>
            </w:r>
          </w:p>
        </w:tc>
        <w:tc>
          <w:tcPr>
            <w:tcW w:w="2723" w:type="dxa"/>
            <w:vAlign w:val="center"/>
          </w:tcPr>
          <w:p w14:paraId="3D4B6F99">
            <w:pPr>
              <w:contextualSpacing/>
              <w:jc w:val="center"/>
            </w:pPr>
            <w:r>
              <w:rPr>
                <w:rFonts w:hint="eastAsia"/>
              </w:rPr>
              <w:t>吴旭东</w:t>
            </w:r>
          </w:p>
        </w:tc>
        <w:tc>
          <w:tcPr>
            <w:tcW w:w="3910" w:type="dxa"/>
            <w:vAlign w:val="center"/>
          </w:tcPr>
          <w:p w14:paraId="25CB3E7E">
            <w:pPr>
              <w:pStyle w:val="13"/>
              <w:ind w:firstLine="0" w:firstLineChars="0"/>
              <w:contextualSpacing/>
              <w:jc w:val="center"/>
            </w:pPr>
            <w:r>
              <w:rPr>
                <w:rFonts w:hint="eastAsia"/>
              </w:rPr>
              <w:t>理事长、总干事</w:t>
            </w:r>
          </w:p>
        </w:tc>
      </w:tr>
      <w:tr w14:paraId="3A81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1F875D8A">
            <w:pPr>
              <w:pStyle w:val="13"/>
              <w:ind w:firstLine="0" w:firstLineChars="0"/>
              <w:contextualSpacing/>
              <w:jc w:val="center"/>
            </w:pPr>
          </w:p>
        </w:tc>
        <w:tc>
          <w:tcPr>
            <w:tcW w:w="2723" w:type="dxa"/>
            <w:vAlign w:val="center"/>
          </w:tcPr>
          <w:p w14:paraId="7481B497">
            <w:pPr>
              <w:contextualSpacing/>
              <w:jc w:val="center"/>
            </w:pPr>
            <w:r>
              <w:rPr>
                <w:rFonts w:hint="eastAsia"/>
              </w:rPr>
              <w:t>杨东娣</w:t>
            </w:r>
          </w:p>
        </w:tc>
        <w:tc>
          <w:tcPr>
            <w:tcW w:w="3910" w:type="dxa"/>
            <w:vAlign w:val="center"/>
          </w:tcPr>
          <w:p w14:paraId="7EB848AE">
            <w:pPr>
              <w:pStyle w:val="13"/>
              <w:ind w:firstLine="0" w:firstLineChars="0"/>
              <w:contextualSpacing/>
              <w:jc w:val="center"/>
              <w:rPr>
                <w:highlight w:val="none"/>
              </w:rPr>
            </w:pPr>
            <w:r>
              <w:rPr>
                <w:rFonts w:hint="eastAsia"/>
                <w:highlight w:val="none"/>
              </w:rPr>
              <w:t>副理事长</w:t>
            </w:r>
          </w:p>
        </w:tc>
      </w:tr>
      <w:tr w14:paraId="3EFC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09529460">
            <w:pPr>
              <w:pStyle w:val="13"/>
              <w:ind w:firstLine="0" w:firstLineChars="0"/>
              <w:contextualSpacing/>
              <w:jc w:val="center"/>
            </w:pPr>
          </w:p>
        </w:tc>
        <w:tc>
          <w:tcPr>
            <w:tcW w:w="2723" w:type="dxa"/>
            <w:vAlign w:val="center"/>
          </w:tcPr>
          <w:p w14:paraId="18439DAE">
            <w:pPr>
              <w:contextualSpacing/>
              <w:jc w:val="center"/>
            </w:pPr>
            <w:r>
              <w:rPr>
                <w:rFonts w:hint="eastAsia"/>
              </w:rPr>
              <w:t>吴炳坚</w:t>
            </w:r>
          </w:p>
        </w:tc>
        <w:tc>
          <w:tcPr>
            <w:tcW w:w="3910" w:type="dxa"/>
            <w:vAlign w:val="center"/>
          </w:tcPr>
          <w:p w14:paraId="6980250F">
            <w:pPr>
              <w:pStyle w:val="13"/>
              <w:ind w:firstLine="0" w:firstLineChars="0"/>
              <w:contextualSpacing/>
              <w:jc w:val="center"/>
            </w:pPr>
            <w:r>
              <w:rPr>
                <w:rFonts w:hint="eastAsia"/>
              </w:rPr>
              <w:t>理事</w:t>
            </w:r>
          </w:p>
        </w:tc>
      </w:tr>
      <w:tr w14:paraId="7392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1F361946">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rPr>
              <w:t>监事</w:t>
            </w:r>
          </w:p>
        </w:tc>
        <w:tc>
          <w:tcPr>
            <w:tcW w:w="2723" w:type="dxa"/>
            <w:vAlign w:val="center"/>
          </w:tcPr>
          <w:p w14:paraId="4D811D46">
            <w:pPr>
              <w:contextualSpacing/>
              <w:jc w:val="center"/>
              <w:rPr>
                <w:rFonts w:hint="eastAsia" w:asciiTheme="minorHAnsi" w:hAnsiTheme="minorHAnsi" w:eastAsiaTheme="minorEastAsia" w:cstheme="minorBidi"/>
                <w:kern w:val="2"/>
                <w:sz w:val="21"/>
                <w:szCs w:val="24"/>
                <w:lang w:val="en-US" w:eastAsia="zh-CN" w:bidi="ar-SA"/>
              </w:rPr>
            </w:pPr>
            <w:r>
              <w:rPr>
                <w:rFonts w:hint="eastAsia"/>
                <w:highlight w:val="none"/>
              </w:rPr>
              <w:t>陈伟东</w:t>
            </w:r>
          </w:p>
        </w:tc>
        <w:tc>
          <w:tcPr>
            <w:tcW w:w="3910" w:type="dxa"/>
            <w:vAlign w:val="center"/>
          </w:tcPr>
          <w:p w14:paraId="17F8EA10">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rPr>
              <w:t>监事</w:t>
            </w:r>
          </w:p>
        </w:tc>
      </w:tr>
      <w:tr w14:paraId="4A3E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0F5DF050">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理事长助理</w:t>
            </w:r>
          </w:p>
        </w:tc>
        <w:tc>
          <w:tcPr>
            <w:tcW w:w="2723" w:type="dxa"/>
            <w:vAlign w:val="center"/>
          </w:tcPr>
          <w:p w14:paraId="3ECCDBE4">
            <w:pPr>
              <w:contextualSpacing/>
              <w:jc w:val="center"/>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eastAsia="zh-CN"/>
              </w:rPr>
              <w:t>蔡伟苑</w:t>
            </w:r>
          </w:p>
        </w:tc>
        <w:tc>
          <w:tcPr>
            <w:tcW w:w="3910" w:type="dxa"/>
            <w:vAlign w:val="center"/>
          </w:tcPr>
          <w:p w14:paraId="7C2ACD58">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lang w:eastAsia="zh-CN"/>
              </w:rPr>
              <w:t>理事长助理</w:t>
            </w:r>
          </w:p>
        </w:tc>
      </w:tr>
      <w:tr w14:paraId="668C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682608F7">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专家顾问</w:t>
            </w:r>
          </w:p>
        </w:tc>
        <w:tc>
          <w:tcPr>
            <w:tcW w:w="2723" w:type="dxa"/>
            <w:vAlign w:val="center"/>
          </w:tcPr>
          <w:p w14:paraId="4D1EE52C">
            <w:pPr>
              <w:contextualSpacing/>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彭未名</w:t>
            </w:r>
          </w:p>
        </w:tc>
        <w:tc>
          <w:tcPr>
            <w:tcW w:w="3910" w:type="dxa"/>
            <w:vAlign w:val="center"/>
          </w:tcPr>
          <w:p w14:paraId="45AB552D">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专家顾问</w:t>
            </w:r>
          </w:p>
        </w:tc>
      </w:tr>
      <w:tr w14:paraId="7AC6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414B24D6">
            <w:pPr>
              <w:pStyle w:val="13"/>
              <w:ind w:firstLine="0" w:firstLineChars="0"/>
              <w:contextualSpacing/>
              <w:jc w:val="center"/>
              <w:rPr>
                <w:rFonts w:hint="eastAsia" w:eastAsiaTheme="minorEastAsia"/>
                <w:lang w:val="en-US" w:eastAsia="zh-CN"/>
              </w:rPr>
            </w:pPr>
            <w:r>
              <w:rPr>
                <w:rFonts w:hint="eastAsia"/>
                <w:lang w:val="en-US" w:eastAsia="zh-CN"/>
              </w:rPr>
              <w:t>党支部</w:t>
            </w:r>
          </w:p>
        </w:tc>
        <w:tc>
          <w:tcPr>
            <w:tcW w:w="2723" w:type="dxa"/>
            <w:vAlign w:val="center"/>
          </w:tcPr>
          <w:p w14:paraId="4EBA0E50">
            <w:pPr>
              <w:contextualSpacing/>
              <w:jc w:val="center"/>
              <w:rPr>
                <w:rFonts w:hint="eastAsia"/>
                <w:lang w:val="en-US" w:eastAsia="zh-CN"/>
              </w:rPr>
            </w:pPr>
            <w:r>
              <w:rPr>
                <w:rFonts w:hint="eastAsia"/>
                <w:lang w:eastAsia="zh-CN"/>
              </w:rPr>
              <w:t>吴旭东</w:t>
            </w:r>
          </w:p>
        </w:tc>
        <w:tc>
          <w:tcPr>
            <w:tcW w:w="3910" w:type="dxa"/>
            <w:vAlign w:val="center"/>
          </w:tcPr>
          <w:p w14:paraId="1B71E491">
            <w:pPr>
              <w:pStyle w:val="13"/>
              <w:ind w:firstLine="0" w:firstLineChars="0"/>
              <w:contextualSpacing/>
              <w:jc w:val="center"/>
              <w:rPr>
                <w:rFonts w:hint="default" w:eastAsiaTheme="minorEastAsia"/>
                <w:highlight w:val="none"/>
                <w:lang w:val="en-US" w:eastAsia="zh-CN"/>
              </w:rPr>
            </w:pPr>
            <w:r>
              <w:rPr>
                <w:rFonts w:hint="eastAsia"/>
              </w:rPr>
              <w:t>党支部书记</w:t>
            </w:r>
          </w:p>
        </w:tc>
      </w:tr>
      <w:tr w14:paraId="2558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18EF318F">
            <w:pPr>
              <w:pStyle w:val="13"/>
              <w:ind w:firstLine="0" w:firstLineChars="0"/>
              <w:contextualSpacing/>
              <w:jc w:val="center"/>
            </w:pPr>
            <w:r>
              <w:rPr>
                <w:rFonts w:hint="eastAsia"/>
              </w:rPr>
              <w:t>总干事</w:t>
            </w:r>
          </w:p>
        </w:tc>
        <w:tc>
          <w:tcPr>
            <w:tcW w:w="2723" w:type="dxa"/>
            <w:vAlign w:val="center"/>
          </w:tcPr>
          <w:p w14:paraId="67FAE5D2">
            <w:pPr>
              <w:contextualSpacing/>
              <w:jc w:val="center"/>
            </w:pPr>
            <w:r>
              <w:rPr>
                <w:rFonts w:hint="eastAsia"/>
              </w:rPr>
              <w:t>吴旭东</w:t>
            </w:r>
          </w:p>
        </w:tc>
        <w:tc>
          <w:tcPr>
            <w:tcW w:w="3910" w:type="dxa"/>
            <w:vAlign w:val="center"/>
          </w:tcPr>
          <w:p w14:paraId="35844F67">
            <w:pPr>
              <w:pStyle w:val="13"/>
              <w:ind w:firstLine="0" w:firstLineChars="0"/>
              <w:contextualSpacing/>
              <w:jc w:val="center"/>
              <w:rPr>
                <w:highlight w:val="yellow"/>
              </w:rPr>
            </w:pPr>
            <w:r>
              <w:rPr>
                <w:rFonts w:hint="eastAsia"/>
              </w:rPr>
              <w:t>总干事</w:t>
            </w:r>
          </w:p>
        </w:tc>
      </w:tr>
      <w:tr w14:paraId="269E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restart"/>
            <w:vAlign w:val="center"/>
          </w:tcPr>
          <w:p w14:paraId="76A2DBBF">
            <w:pPr>
              <w:pStyle w:val="13"/>
              <w:ind w:firstLine="0" w:firstLineChars="0"/>
              <w:contextualSpacing/>
              <w:jc w:val="center"/>
            </w:pPr>
            <w:r>
              <w:rPr>
                <w:rFonts w:hint="eastAsia"/>
              </w:rPr>
              <w:t>服务部</w:t>
            </w:r>
          </w:p>
        </w:tc>
        <w:tc>
          <w:tcPr>
            <w:tcW w:w="2723" w:type="dxa"/>
            <w:shd w:val="clear" w:color="auto" w:fill="auto"/>
            <w:vAlign w:val="center"/>
          </w:tcPr>
          <w:p w14:paraId="3E415EA5">
            <w:pPr>
              <w:contextualSpacing/>
              <w:jc w:val="center"/>
              <w:rPr>
                <w:rFonts w:hint="eastAsia" w:asciiTheme="minorHAnsi" w:hAnsiTheme="minorHAnsi" w:eastAsiaTheme="minorEastAsia" w:cstheme="minorBidi"/>
                <w:kern w:val="2"/>
                <w:sz w:val="21"/>
                <w:szCs w:val="24"/>
                <w:lang w:val="en-US" w:eastAsia="zh-CN" w:bidi="ar-SA"/>
              </w:rPr>
            </w:pPr>
            <w:r>
              <w:rPr>
                <w:rFonts w:hint="eastAsia"/>
                <w:lang w:eastAsia="zh-CN"/>
              </w:rPr>
              <w:t>杨义尚</w:t>
            </w:r>
          </w:p>
        </w:tc>
        <w:tc>
          <w:tcPr>
            <w:tcW w:w="3910" w:type="dxa"/>
            <w:shd w:val="clear" w:color="auto" w:fill="auto"/>
            <w:vAlign w:val="center"/>
          </w:tcPr>
          <w:p w14:paraId="68DF0A58">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lang w:eastAsia="zh-CN"/>
              </w:rPr>
              <w:t>高级服务总监</w:t>
            </w:r>
          </w:p>
        </w:tc>
      </w:tr>
      <w:tr w14:paraId="3A39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7F6B23CF">
            <w:pPr>
              <w:pStyle w:val="13"/>
              <w:ind w:firstLine="0" w:firstLineChars="0"/>
              <w:contextualSpacing/>
              <w:jc w:val="center"/>
            </w:pPr>
          </w:p>
        </w:tc>
        <w:tc>
          <w:tcPr>
            <w:tcW w:w="2723" w:type="dxa"/>
            <w:vAlign w:val="center"/>
          </w:tcPr>
          <w:p w14:paraId="3BCDD700">
            <w:pPr>
              <w:contextualSpacing/>
              <w:jc w:val="center"/>
            </w:pPr>
            <w:r>
              <w:rPr>
                <w:rFonts w:hint="eastAsia"/>
              </w:rPr>
              <w:t>赖志婷</w:t>
            </w:r>
          </w:p>
        </w:tc>
        <w:tc>
          <w:tcPr>
            <w:tcW w:w="3910" w:type="dxa"/>
            <w:vAlign w:val="center"/>
          </w:tcPr>
          <w:p w14:paraId="4FFB407D">
            <w:pPr>
              <w:pStyle w:val="13"/>
              <w:ind w:firstLine="0" w:firstLineChars="0"/>
              <w:contextualSpacing/>
              <w:jc w:val="center"/>
            </w:pPr>
            <w:r>
              <w:rPr>
                <w:rFonts w:hint="eastAsia"/>
              </w:rPr>
              <w:t>部长</w:t>
            </w:r>
          </w:p>
        </w:tc>
      </w:tr>
      <w:tr w14:paraId="6846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6A85E8F9">
            <w:pPr>
              <w:pStyle w:val="13"/>
              <w:ind w:firstLine="0" w:firstLineChars="0"/>
              <w:contextualSpacing/>
              <w:jc w:val="center"/>
              <w:rPr>
                <w:rFonts w:hint="eastAsia" w:eastAsiaTheme="minorEastAsia"/>
                <w:lang w:eastAsia="zh-CN"/>
              </w:rPr>
            </w:pPr>
            <w:r>
              <w:rPr>
                <w:rFonts w:hint="eastAsia"/>
                <w:lang w:eastAsia="zh-CN"/>
              </w:rPr>
              <w:t>项目部</w:t>
            </w:r>
          </w:p>
        </w:tc>
        <w:tc>
          <w:tcPr>
            <w:tcW w:w="2723" w:type="dxa"/>
            <w:vAlign w:val="center"/>
          </w:tcPr>
          <w:p w14:paraId="30F68E23">
            <w:pPr>
              <w:contextualSpacing/>
              <w:jc w:val="center"/>
              <w:rPr>
                <w:rFonts w:hint="eastAsia"/>
                <w:lang w:eastAsia="zh-CN"/>
              </w:rPr>
            </w:pPr>
            <w:r>
              <w:rPr>
                <w:rFonts w:hint="eastAsia"/>
                <w:lang w:eastAsia="zh-CN"/>
              </w:rPr>
              <w:t>赖志婷暂代</w:t>
            </w:r>
          </w:p>
        </w:tc>
        <w:tc>
          <w:tcPr>
            <w:tcW w:w="3910" w:type="dxa"/>
            <w:vAlign w:val="center"/>
          </w:tcPr>
          <w:p w14:paraId="7C5DCF3B">
            <w:pPr>
              <w:pStyle w:val="13"/>
              <w:ind w:firstLine="0" w:firstLineChars="0"/>
              <w:contextualSpacing/>
              <w:jc w:val="center"/>
              <w:rPr>
                <w:rFonts w:hint="default" w:eastAsiaTheme="minorEastAsia"/>
                <w:lang w:val="en-US" w:eastAsia="zh-CN"/>
              </w:rPr>
            </w:pPr>
            <w:r>
              <w:rPr>
                <w:rFonts w:hint="eastAsia"/>
                <w:lang w:eastAsia="zh-CN"/>
              </w:rPr>
              <w:t>部长</w:t>
            </w:r>
          </w:p>
        </w:tc>
      </w:tr>
      <w:tr w14:paraId="508E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2662" w:type="dxa"/>
            <w:vMerge w:val="restart"/>
            <w:vAlign w:val="center"/>
          </w:tcPr>
          <w:p w14:paraId="2B2355D0">
            <w:pPr>
              <w:pStyle w:val="13"/>
              <w:ind w:firstLine="0" w:firstLineChars="0"/>
              <w:contextualSpacing/>
              <w:jc w:val="center"/>
              <w:rPr>
                <w:highlight w:val="yellow"/>
              </w:rPr>
            </w:pPr>
            <w:r>
              <w:rPr>
                <w:rFonts w:hint="eastAsia"/>
                <w:highlight w:val="none"/>
              </w:rPr>
              <w:t>办公室</w:t>
            </w:r>
          </w:p>
        </w:tc>
        <w:tc>
          <w:tcPr>
            <w:tcW w:w="2723" w:type="dxa"/>
            <w:vAlign w:val="center"/>
          </w:tcPr>
          <w:p w14:paraId="28DE53C8">
            <w:pPr>
              <w:contextualSpacing/>
              <w:jc w:val="center"/>
              <w:rPr>
                <w:highlight w:val="none"/>
              </w:rPr>
            </w:pPr>
            <w:r>
              <w:rPr>
                <w:rFonts w:hint="eastAsia"/>
                <w:highlight w:val="none"/>
              </w:rPr>
              <w:t>吴雅婧</w:t>
            </w:r>
          </w:p>
        </w:tc>
        <w:tc>
          <w:tcPr>
            <w:tcW w:w="3910" w:type="dxa"/>
            <w:vAlign w:val="center"/>
          </w:tcPr>
          <w:p w14:paraId="5F8013E7">
            <w:pPr>
              <w:pStyle w:val="13"/>
              <w:ind w:firstLine="0" w:firstLineChars="0"/>
              <w:contextualSpacing/>
              <w:jc w:val="center"/>
              <w:rPr>
                <w:highlight w:val="none"/>
              </w:rPr>
            </w:pPr>
            <w:r>
              <w:rPr>
                <w:rFonts w:hint="eastAsia"/>
                <w:highlight w:val="none"/>
              </w:rPr>
              <w:t>办公室主任</w:t>
            </w:r>
          </w:p>
        </w:tc>
      </w:tr>
      <w:tr w14:paraId="1FC9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487F9BD5">
            <w:pPr>
              <w:pStyle w:val="13"/>
              <w:ind w:firstLine="0" w:firstLineChars="0"/>
              <w:contextualSpacing/>
              <w:jc w:val="center"/>
              <w:rPr>
                <w:highlight w:val="yellow"/>
              </w:rPr>
            </w:pPr>
          </w:p>
        </w:tc>
        <w:tc>
          <w:tcPr>
            <w:tcW w:w="2723" w:type="dxa"/>
            <w:vAlign w:val="center"/>
          </w:tcPr>
          <w:p w14:paraId="47423146">
            <w:pPr>
              <w:contextualSpacing/>
              <w:jc w:val="center"/>
              <w:rPr>
                <w:highlight w:val="none"/>
              </w:rPr>
            </w:pPr>
            <w:r>
              <w:rPr>
                <w:rFonts w:hint="eastAsia"/>
                <w:highlight w:val="none"/>
              </w:rPr>
              <w:t>林云</w:t>
            </w:r>
          </w:p>
        </w:tc>
        <w:tc>
          <w:tcPr>
            <w:tcW w:w="3910" w:type="dxa"/>
            <w:vAlign w:val="center"/>
          </w:tcPr>
          <w:p w14:paraId="31B0D8CA">
            <w:pPr>
              <w:pStyle w:val="13"/>
              <w:ind w:firstLine="0" w:firstLineChars="0"/>
              <w:contextualSpacing/>
              <w:jc w:val="center"/>
              <w:rPr>
                <w:highlight w:val="none"/>
              </w:rPr>
            </w:pPr>
            <w:r>
              <w:rPr>
                <w:rFonts w:hint="eastAsia"/>
                <w:highlight w:val="none"/>
              </w:rPr>
              <w:t>办公室副主任</w:t>
            </w:r>
          </w:p>
        </w:tc>
      </w:tr>
      <w:tr w14:paraId="27F6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107B3816">
            <w:pPr>
              <w:pStyle w:val="13"/>
              <w:ind w:firstLine="0" w:firstLineChars="0"/>
              <w:contextualSpacing/>
              <w:jc w:val="center"/>
              <w:rPr>
                <w:highlight w:val="yellow"/>
              </w:rPr>
            </w:pPr>
          </w:p>
        </w:tc>
        <w:tc>
          <w:tcPr>
            <w:tcW w:w="2723" w:type="dxa"/>
            <w:vAlign w:val="center"/>
          </w:tcPr>
          <w:p w14:paraId="205586B2">
            <w:pPr>
              <w:contextualSpacing/>
              <w:jc w:val="center"/>
              <w:rPr>
                <w:rFonts w:hint="eastAsia" w:eastAsiaTheme="minorEastAsia"/>
                <w:highlight w:val="none"/>
                <w:lang w:eastAsia="zh-CN"/>
              </w:rPr>
            </w:pPr>
            <w:r>
              <w:rPr>
                <w:rFonts w:hint="eastAsia"/>
                <w:highlight w:val="none"/>
                <w:lang w:eastAsia="zh-CN"/>
              </w:rPr>
              <w:t>钟静华</w:t>
            </w:r>
          </w:p>
        </w:tc>
        <w:tc>
          <w:tcPr>
            <w:tcW w:w="3910" w:type="dxa"/>
            <w:vAlign w:val="center"/>
          </w:tcPr>
          <w:p w14:paraId="3B102865">
            <w:pPr>
              <w:pStyle w:val="13"/>
              <w:ind w:firstLine="0" w:firstLineChars="0"/>
              <w:contextualSpacing/>
              <w:jc w:val="center"/>
              <w:rPr>
                <w:rFonts w:hint="eastAsia" w:eastAsiaTheme="minorEastAsia"/>
                <w:highlight w:val="none"/>
                <w:lang w:val="en-US" w:eastAsia="zh-CN"/>
              </w:rPr>
            </w:pPr>
            <w:r>
              <w:rPr>
                <w:rFonts w:hint="eastAsia"/>
                <w:highlight w:val="none"/>
                <w:lang w:val="en-US" w:eastAsia="zh-CN"/>
              </w:rPr>
              <w:t>宣传干事</w:t>
            </w:r>
          </w:p>
        </w:tc>
      </w:tr>
      <w:tr w14:paraId="15E5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2662" w:type="dxa"/>
            <w:vMerge w:val="restart"/>
            <w:vAlign w:val="center"/>
          </w:tcPr>
          <w:p w14:paraId="38DFC9CF">
            <w:pPr>
              <w:pStyle w:val="13"/>
              <w:ind w:firstLine="0" w:firstLineChars="0"/>
              <w:contextualSpacing/>
              <w:jc w:val="center"/>
              <w:rPr>
                <w:highlight w:val="none"/>
              </w:rPr>
            </w:pPr>
            <w:r>
              <w:rPr>
                <w:rFonts w:hint="eastAsia"/>
                <w:highlight w:val="none"/>
              </w:rPr>
              <w:t>财务</w:t>
            </w:r>
          </w:p>
        </w:tc>
        <w:tc>
          <w:tcPr>
            <w:tcW w:w="2723" w:type="dxa"/>
            <w:vAlign w:val="center"/>
          </w:tcPr>
          <w:p w14:paraId="0C7FC5D6">
            <w:pPr>
              <w:contextualSpacing/>
              <w:jc w:val="center"/>
              <w:rPr>
                <w:rFonts w:hint="eastAsia" w:eastAsiaTheme="minorEastAsia"/>
                <w:highlight w:val="none"/>
                <w:lang w:eastAsia="zh-CN"/>
              </w:rPr>
            </w:pPr>
            <w:r>
              <w:rPr>
                <w:rFonts w:hint="eastAsia"/>
                <w:highlight w:val="none"/>
                <w:lang w:eastAsia="zh-CN"/>
              </w:rPr>
              <w:t>蔡佩敏</w:t>
            </w:r>
          </w:p>
        </w:tc>
        <w:tc>
          <w:tcPr>
            <w:tcW w:w="3910" w:type="dxa"/>
            <w:vAlign w:val="center"/>
          </w:tcPr>
          <w:p w14:paraId="47BBF295">
            <w:pPr>
              <w:pStyle w:val="13"/>
              <w:ind w:firstLine="0" w:firstLineChars="0"/>
              <w:contextualSpacing/>
              <w:jc w:val="center"/>
              <w:rPr>
                <w:rFonts w:hint="eastAsia" w:eastAsiaTheme="minorEastAsia"/>
                <w:highlight w:val="none"/>
                <w:lang w:eastAsia="zh-CN"/>
              </w:rPr>
            </w:pPr>
            <w:r>
              <w:rPr>
                <w:rFonts w:hint="eastAsia"/>
                <w:highlight w:val="none"/>
                <w:lang w:eastAsia="zh-CN"/>
              </w:rPr>
              <w:t>会计</w:t>
            </w:r>
          </w:p>
        </w:tc>
      </w:tr>
      <w:tr w14:paraId="49A0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7454524E">
            <w:pPr>
              <w:pStyle w:val="13"/>
              <w:ind w:firstLine="0" w:firstLineChars="0"/>
              <w:contextualSpacing/>
              <w:jc w:val="center"/>
              <w:rPr>
                <w:highlight w:val="none"/>
              </w:rPr>
            </w:pPr>
          </w:p>
        </w:tc>
        <w:tc>
          <w:tcPr>
            <w:tcW w:w="2723" w:type="dxa"/>
            <w:vAlign w:val="center"/>
          </w:tcPr>
          <w:p w14:paraId="34CEC47A">
            <w:pPr>
              <w:contextualSpacing/>
              <w:jc w:val="center"/>
              <w:rPr>
                <w:rFonts w:hint="eastAsia" w:eastAsiaTheme="minorEastAsia"/>
                <w:highlight w:val="none"/>
                <w:lang w:eastAsia="zh-CN"/>
              </w:rPr>
            </w:pPr>
            <w:r>
              <w:rPr>
                <w:rFonts w:hint="eastAsia"/>
                <w:highlight w:val="none"/>
                <w:lang w:eastAsia="zh-CN"/>
              </w:rPr>
              <w:t>蔡秋菊</w:t>
            </w:r>
          </w:p>
        </w:tc>
        <w:tc>
          <w:tcPr>
            <w:tcW w:w="3910" w:type="dxa"/>
            <w:vAlign w:val="center"/>
          </w:tcPr>
          <w:p w14:paraId="5CE2A53E">
            <w:pPr>
              <w:pStyle w:val="13"/>
              <w:ind w:firstLine="0" w:firstLineChars="0"/>
              <w:contextualSpacing/>
              <w:jc w:val="center"/>
              <w:rPr>
                <w:rFonts w:hint="eastAsia" w:eastAsiaTheme="minorEastAsia"/>
                <w:highlight w:val="none"/>
                <w:lang w:eastAsia="zh-CN"/>
              </w:rPr>
            </w:pPr>
            <w:r>
              <w:rPr>
                <w:rFonts w:hint="eastAsia"/>
                <w:highlight w:val="none"/>
                <w:lang w:eastAsia="zh-CN"/>
              </w:rPr>
              <w:t>出纳</w:t>
            </w:r>
          </w:p>
        </w:tc>
      </w:tr>
      <w:tr w14:paraId="70AF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7CF35AE5">
            <w:pPr>
              <w:pStyle w:val="13"/>
              <w:ind w:firstLine="0" w:firstLineChars="0"/>
              <w:contextualSpacing/>
              <w:jc w:val="center"/>
              <w:rPr>
                <w:highlight w:val="none"/>
              </w:rPr>
            </w:pPr>
          </w:p>
        </w:tc>
        <w:tc>
          <w:tcPr>
            <w:tcW w:w="2723" w:type="dxa"/>
            <w:vAlign w:val="center"/>
          </w:tcPr>
          <w:p w14:paraId="45DEDE4F">
            <w:pPr>
              <w:contextualSpacing/>
              <w:jc w:val="center"/>
              <w:rPr>
                <w:rFonts w:hint="eastAsia" w:eastAsiaTheme="minorEastAsia"/>
                <w:highlight w:val="none"/>
                <w:lang w:eastAsia="zh-CN"/>
              </w:rPr>
            </w:pPr>
            <w:r>
              <w:rPr>
                <w:rFonts w:hint="eastAsia"/>
                <w:highlight w:val="none"/>
                <w:lang w:eastAsia="zh-CN"/>
              </w:rPr>
              <w:t>蔡洁华</w:t>
            </w:r>
          </w:p>
        </w:tc>
        <w:tc>
          <w:tcPr>
            <w:tcW w:w="3910" w:type="dxa"/>
            <w:vAlign w:val="center"/>
          </w:tcPr>
          <w:p w14:paraId="28D06EC4">
            <w:pPr>
              <w:pStyle w:val="13"/>
              <w:ind w:firstLine="0" w:firstLineChars="0"/>
              <w:contextualSpacing/>
              <w:jc w:val="center"/>
              <w:rPr>
                <w:rFonts w:hint="eastAsia" w:eastAsiaTheme="minorEastAsia"/>
                <w:highlight w:val="none"/>
                <w:lang w:eastAsia="zh-CN"/>
              </w:rPr>
            </w:pPr>
            <w:r>
              <w:rPr>
                <w:rFonts w:hint="eastAsia"/>
                <w:highlight w:val="none"/>
                <w:lang w:eastAsia="zh-CN"/>
              </w:rPr>
              <w:t>会计助理</w:t>
            </w:r>
          </w:p>
        </w:tc>
      </w:tr>
      <w:tr w14:paraId="496E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restart"/>
            <w:vAlign w:val="center"/>
          </w:tcPr>
          <w:p w14:paraId="66AE09D7">
            <w:pPr>
              <w:pStyle w:val="13"/>
              <w:ind w:firstLine="0" w:firstLineChars="0"/>
              <w:contextualSpacing/>
              <w:jc w:val="center"/>
              <w:rPr>
                <w:highlight w:val="none"/>
              </w:rPr>
            </w:pPr>
            <w:r>
              <w:rPr>
                <w:rFonts w:hint="eastAsia"/>
                <w:highlight w:val="none"/>
              </w:rPr>
              <w:t>督导委员会</w:t>
            </w:r>
          </w:p>
        </w:tc>
        <w:tc>
          <w:tcPr>
            <w:tcW w:w="2723" w:type="dxa"/>
            <w:vAlign w:val="center"/>
          </w:tcPr>
          <w:p w14:paraId="306ABC96">
            <w:pPr>
              <w:contextualSpacing/>
              <w:jc w:val="center"/>
              <w:rPr>
                <w:highlight w:val="none"/>
              </w:rPr>
            </w:pPr>
            <w:r>
              <w:rPr>
                <w:rFonts w:hint="eastAsia"/>
                <w:highlight w:val="none"/>
              </w:rPr>
              <w:t>谢坤</w:t>
            </w:r>
          </w:p>
        </w:tc>
        <w:tc>
          <w:tcPr>
            <w:tcW w:w="3910" w:type="dxa"/>
            <w:vAlign w:val="center"/>
          </w:tcPr>
          <w:p w14:paraId="47B9F9C0">
            <w:pPr>
              <w:pStyle w:val="13"/>
              <w:ind w:firstLine="0" w:firstLineChars="0"/>
              <w:contextualSpacing/>
              <w:jc w:val="center"/>
              <w:rPr>
                <w:rFonts w:hint="eastAsia" w:eastAsiaTheme="minorEastAsia"/>
                <w:highlight w:val="none"/>
                <w:lang w:eastAsia="zh-CN"/>
              </w:rPr>
            </w:pPr>
            <w:r>
              <w:rPr>
                <w:rFonts w:hint="eastAsia"/>
                <w:highlight w:val="none"/>
                <w:lang w:eastAsia="zh-CN"/>
              </w:rPr>
              <w:t>负责人</w:t>
            </w:r>
          </w:p>
        </w:tc>
      </w:tr>
      <w:tr w14:paraId="7655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4FAB0C85">
            <w:pPr>
              <w:pStyle w:val="13"/>
              <w:ind w:firstLine="0" w:firstLineChars="0"/>
              <w:contextualSpacing/>
              <w:jc w:val="center"/>
              <w:rPr>
                <w:highlight w:val="none"/>
              </w:rPr>
            </w:pPr>
          </w:p>
        </w:tc>
        <w:tc>
          <w:tcPr>
            <w:tcW w:w="2723" w:type="dxa"/>
            <w:vAlign w:val="center"/>
          </w:tcPr>
          <w:p w14:paraId="78F075A1">
            <w:pPr>
              <w:contextualSpacing/>
              <w:jc w:val="center"/>
              <w:rPr>
                <w:rFonts w:hint="default" w:eastAsiaTheme="minorEastAsia"/>
                <w:highlight w:val="none"/>
                <w:lang w:val="en-US" w:eastAsia="zh-CN"/>
              </w:rPr>
            </w:pPr>
            <w:r>
              <w:rPr>
                <w:rFonts w:hint="eastAsia"/>
                <w:highlight w:val="none"/>
                <w:lang w:eastAsia="zh-CN"/>
              </w:rPr>
              <w:t>杨义尚</w:t>
            </w:r>
            <w:r>
              <w:rPr>
                <w:rFonts w:hint="eastAsia"/>
                <w:highlight w:val="none"/>
                <w:lang w:val="en-US" w:eastAsia="zh-CN"/>
              </w:rPr>
              <w:t>/袁福笑</w:t>
            </w:r>
          </w:p>
        </w:tc>
        <w:tc>
          <w:tcPr>
            <w:tcW w:w="3910" w:type="dxa"/>
            <w:vAlign w:val="center"/>
          </w:tcPr>
          <w:p w14:paraId="7BBAB63A">
            <w:pPr>
              <w:pStyle w:val="13"/>
              <w:ind w:firstLine="0" w:firstLineChars="0"/>
              <w:contextualSpacing/>
              <w:jc w:val="center"/>
              <w:rPr>
                <w:rFonts w:hint="eastAsia" w:eastAsiaTheme="minorEastAsia"/>
                <w:highlight w:val="none"/>
                <w:lang w:eastAsia="zh-CN"/>
              </w:rPr>
            </w:pPr>
            <w:r>
              <w:rPr>
                <w:rFonts w:hint="eastAsia"/>
                <w:highlight w:val="none"/>
                <w:lang w:eastAsia="zh-CN"/>
              </w:rPr>
              <w:t>品牌部</w:t>
            </w:r>
          </w:p>
        </w:tc>
      </w:tr>
      <w:tr w14:paraId="7CCF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2B3E2234">
            <w:pPr>
              <w:pStyle w:val="13"/>
              <w:ind w:firstLine="0" w:firstLineChars="0"/>
              <w:contextualSpacing/>
              <w:jc w:val="center"/>
              <w:rPr>
                <w:highlight w:val="none"/>
              </w:rPr>
            </w:pPr>
          </w:p>
        </w:tc>
        <w:tc>
          <w:tcPr>
            <w:tcW w:w="2723" w:type="dxa"/>
            <w:shd w:val="clear" w:color="auto" w:fill="auto"/>
            <w:vAlign w:val="center"/>
          </w:tcPr>
          <w:p w14:paraId="01E2B546">
            <w:pPr>
              <w:contextualSpacing/>
              <w:jc w:val="center"/>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eastAsia="zh-CN"/>
              </w:rPr>
              <w:t>吴柔青</w:t>
            </w:r>
            <w:r>
              <w:rPr>
                <w:rFonts w:hint="eastAsia"/>
                <w:highlight w:val="none"/>
                <w:lang w:val="en-US" w:eastAsia="zh-CN"/>
              </w:rPr>
              <w:t>/</w:t>
            </w:r>
            <w:r>
              <w:rPr>
                <w:rFonts w:hint="eastAsia"/>
                <w:highlight w:val="none"/>
                <w:lang w:eastAsia="zh-CN"/>
              </w:rPr>
              <w:t>陈笑英</w:t>
            </w:r>
          </w:p>
        </w:tc>
        <w:tc>
          <w:tcPr>
            <w:tcW w:w="3910" w:type="dxa"/>
            <w:shd w:val="clear" w:color="auto" w:fill="auto"/>
            <w:vAlign w:val="center"/>
          </w:tcPr>
          <w:p w14:paraId="436E1F28">
            <w:pPr>
              <w:pStyle w:val="13"/>
              <w:ind w:firstLine="0" w:firstLineChars="0"/>
              <w:contextualSpacing/>
              <w:jc w:val="center"/>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eastAsia="zh-CN"/>
              </w:rPr>
              <w:t>培训部</w:t>
            </w:r>
          </w:p>
        </w:tc>
      </w:tr>
      <w:tr w14:paraId="4676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5BDDB6C3">
            <w:pPr>
              <w:pStyle w:val="13"/>
              <w:ind w:firstLine="0" w:firstLineChars="0"/>
              <w:contextualSpacing/>
              <w:jc w:val="center"/>
              <w:rPr>
                <w:highlight w:val="none"/>
              </w:rPr>
            </w:pPr>
          </w:p>
        </w:tc>
        <w:tc>
          <w:tcPr>
            <w:tcW w:w="2723" w:type="dxa"/>
            <w:vAlign w:val="center"/>
          </w:tcPr>
          <w:p w14:paraId="7A15A0F5">
            <w:pPr>
              <w:contextualSpacing/>
              <w:jc w:val="center"/>
              <w:rPr>
                <w:rFonts w:hint="default" w:eastAsiaTheme="minorEastAsia"/>
                <w:highlight w:val="none"/>
                <w:lang w:val="en-US" w:eastAsia="zh-CN"/>
              </w:rPr>
            </w:pPr>
            <w:r>
              <w:rPr>
                <w:rFonts w:hint="eastAsia"/>
                <w:highlight w:val="none"/>
                <w:lang w:eastAsia="zh-CN"/>
              </w:rPr>
              <w:t>萧广成</w:t>
            </w:r>
            <w:r>
              <w:rPr>
                <w:rFonts w:hint="eastAsia"/>
                <w:highlight w:val="none"/>
                <w:lang w:val="en-US" w:eastAsia="zh-CN"/>
              </w:rPr>
              <w:t>/谭丽婷</w:t>
            </w:r>
          </w:p>
        </w:tc>
        <w:tc>
          <w:tcPr>
            <w:tcW w:w="3910" w:type="dxa"/>
            <w:vAlign w:val="center"/>
          </w:tcPr>
          <w:p w14:paraId="7D3BF17E">
            <w:pPr>
              <w:pStyle w:val="13"/>
              <w:ind w:firstLine="0" w:firstLineChars="0"/>
              <w:contextualSpacing/>
              <w:jc w:val="center"/>
              <w:rPr>
                <w:rFonts w:hint="eastAsia" w:eastAsiaTheme="minorEastAsia"/>
                <w:highlight w:val="none"/>
                <w:lang w:eastAsia="zh-CN"/>
              </w:rPr>
            </w:pPr>
            <w:r>
              <w:rPr>
                <w:rFonts w:hint="eastAsia"/>
                <w:highlight w:val="none"/>
                <w:lang w:eastAsia="zh-CN"/>
              </w:rPr>
              <w:t>研发部</w:t>
            </w:r>
          </w:p>
        </w:tc>
      </w:tr>
    </w:tbl>
    <w:p w14:paraId="6A25B0BD"/>
    <w:p w14:paraId="657C042B"/>
    <w:p w14:paraId="6D6C0E77"/>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9E03F"/>
    <w:multiLevelType w:val="singleLevel"/>
    <w:tmpl w:val="0329E03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Q0YThhZjBhYWUzNTkxZThjNjE3ZDg3OGY5ODkwNjkifQ=="/>
  </w:docVars>
  <w:rsids>
    <w:rsidRoot w:val="299A6F7D"/>
    <w:rsid w:val="0000313B"/>
    <w:rsid w:val="000228C3"/>
    <w:rsid w:val="000936C0"/>
    <w:rsid w:val="00094B2E"/>
    <w:rsid w:val="000A2DFA"/>
    <w:rsid w:val="000A3838"/>
    <w:rsid w:val="000C52AB"/>
    <w:rsid w:val="00120224"/>
    <w:rsid w:val="00132368"/>
    <w:rsid w:val="00143635"/>
    <w:rsid w:val="00183484"/>
    <w:rsid w:val="001848AA"/>
    <w:rsid w:val="001B743B"/>
    <w:rsid w:val="001E5ACE"/>
    <w:rsid w:val="001F28E6"/>
    <w:rsid w:val="0023478A"/>
    <w:rsid w:val="00245A16"/>
    <w:rsid w:val="002E2682"/>
    <w:rsid w:val="002E6CA6"/>
    <w:rsid w:val="00304FA0"/>
    <w:rsid w:val="00313CE6"/>
    <w:rsid w:val="0032558B"/>
    <w:rsid w:val="00350FC3"/>
    <w:rsid w:val="003B7CF9"/>
    <w:rsid w:val="003C6D54"/>
    <w:rsid w:val="003D3F75"/>
    <w:rsid w:val="004071A3"/>
    <w:rsid w:val="00417FF0"/>
    <w:rsid w:val="0043266B"/>
    <w:rsid w:val="004544DA"/>
    <w:rsid w:val="00463B3A"/>
    <w:rsid w:val="00491CF6"/>
    <w:rsid w:val="004B1D62"/>
    <w:rsid w:val="00520E36"/>
    <w:rsid w:val="00530C66"/>
    <w:rsid w:val="00535105"/>
    <w:rsid w:val="005413FB"/>
    <w:rsid w:val="00553920"/>
    <w:rsid w:val="005601B1"/>
    <w:rsid w:val="00561569"/>
    <w:rsid w:val="00571149"/>
    <w:rsid w:val="00571EB3"/>
    <w:rsid w:val="0059713C"/>
    <w:rsid w:val="005A3CAD"/>
    <w:rsid w:val="005B1F91"/>
    <w:rsid w:val="005E593C"/>
    <w:rsid w:val="005F1948"/>
    <w:rsid w:val="005F1B05"/>
    <w:rsid w:val="005F6A8D"/>
    <w:rsid w:val="005F758C"/>
    <w:rsid w:val="00630C98"/>
    <w:rsid w:val="00647B53"/>
    <w:rsid w:val="006752E2"/>
    <w:rsid w:val="006C065A"/>
    <w:rsid w:val="006C3566"/>
    <w:rsid w:val="006E63C5"/>
    <w:rsid w:val="006F6E30"/>
    <w:rsid w:val="0070540B"/>
    <w:rsid w:val="00716A3C"/>
    <w:rsid w:val="007319C0"/>
    <w:rsid w:val="00746262"/>
    <w:rsid w:val="00760203"/>
    <w:rsid w:val="00783491"/>
    <w:rsid w:val="00783C47"/>
    <w:rsid w:val="0078610E"/>
    <w:rsid w:val="007869BE"/>
    <w:rsid w:val="00790ED6"/>
    <w:rsid w:val="00796B60"/>
    <w:rsid w:val="007A2BCF"/>
    <w:rsid w:val="007B7C8F"/>
    <w:rsid w:val="007E5B2C"/>
    <w:rsid w:val="007F1475"/>
    <w:rsid w:val="008216DF"/>
    <w:rsid w:val="0087458E"/>
    <w:rsid w:val="0087736F"/>
    <w:rsid w:val="008A1F06"/>
    <w:rsid w:val="008C43FA"/>
    <w:rsid w:val="008C5FC6"/>
    <w:rsid w:val="008D0E56"/>
    <w:rsid w:val="008D4D24"/>
    <w:rsid w:val="008F4E82"/>
    <w:rsid w:val="0090775A"/>
    <w:rsid w:val="00944CAE"/>
    <w:rsid w:val="0099598E"/>
    <w:rsid w:val="00995E5E"/>
    <w:rsid w:val="00A168B6"/>
    <w:rsid w:val="00A17B1F"/>
    <w:rsid w:val="00A3790B"/>
    <w:rsid w:val="00B208D2"/>
    <w:rsid w:val="00B26BDC"/>
    <w:rsid w:val="00B41AD0"/>
    <w:rsid w:val="00B7760E"/>
    <w:rsid w:val="00B90177"/>
    <w:rsid w:val="00B9498F"/>
    <w:rsid w:val="00BA586A"/>
    <w:rsid w:val="00BD2535"/>
    <w:rsid w:val="00BD31F3"/>
    <w:rsid w:val="00BD47BB"/>
    <w:rsid w:val="00BE170A"/>
    <w:rsid w:val="00BF0057"/>
    <w:rsid w:val="00C46E0D"/>
    <w:rsid w:val="00C6391B"/>
    <w:rsid w:val="00C81A38"/>
    <w:rsid w:val="00C97AF2"/>
    <w:rsid w:val="00CC0DDB"/>
    <w:rsid w:val="00CD03DB"/>
    <w:rsid w:val="00CD431D"/>
    <w:rsid w:val="00CE2BCE"/>
    <w:rsid w:val="00CE4B78"/>
    <w:rsid w:val="00CF3BD4"/>
    <w:rsid w:val="00D10206"/>
    <w:rsid w:val="00D33E39"/>
    <w:rsid w:val="00D50FF5"/>
    <w:rsid w:val="00D53AC4"/>
    <w:rsid w:val="00D67740"/>
    <w:rsid w:val="00D701E4"/>
    <w:rsid w:val="00D75945"/>
    <w:rsid w:val="00D820FA"/>
    <w:rsid w:val="00DB674E"/>
    <w:rsid w:val="00DE1965"/>
    <w:rsid w:val="00E00CEF"/>
    <w:rsid w:val="00E04741"/>
    <w:rsid w:val="00E12D68"/>
    <w:rsid w:val="00E14001"/>
    <w:rsid w:val="00E53673"/>
    <w:rsid w:val="00E63F1A"/>
    <w:rsid w:val="00E67D25"/>
    <w:rsid w:val="00E96014"/>
    <w:rsid w:val="00EB7745"/>
    <w:rsid w:val="00F318EF"/>
    <w:rsid w:val="00F538FA"/>
    <w:rsid w:val="00F807C0"/>
    <w:rsid w:val="00FB26B1"/>
    <w:rsid w:val="00FD0898"/>
    <w:rsid w:val="02AA26C5"/>
    <w:rsid w:val="03801F3B"/>
    <w:rsid w:val="03EF0258"/>
    <w:rsid w:val="0E9E5274"/>
    <w:rsid w:val="10057044"/>
    <w:rsid w:val="10AB560F"/>
    <w:rsid w:val="122525BD"/>
    <w:rsid w:val="17314E17"/>
    <w:rsid w:val="18145C3A"/>
    <w:rsid w:val="18CD2A93"/>
    <w:rsid w:val="1C567084"/>
    <w:rsid w:val="1CEF2C66"/>
    <w:rsid w:val="1DD86594"/>
    <w:rsid w:val="1EF3370C"/>
    <w:rsid w:val="24883D1E"/>
    <w:rsid w:val="25393816"/>
    <w:rsid w:val="264F6732"/>
    <w:rsid w:val="299A6F7D"/>
    <w:rsid w:val="2B5F6B4B"/>
    <w:rsid w:val="31E00A6C"/>
    <w:rsid w:val="32D47465"/>
    <w:rsid w:val="393F6B23"/>
    <w:rsid w:val="3D683D00"/>
    <w:rsid w:val="41AB16A9"/>
    <w:rsid w:val="439F66EE"/>
    <w:rsid w:val="45C8048B"/>
    <w:rsid w:val="4992588D"/>
    <w:rsid w:val="4B38647C"/>
    <w:rsid w:val="50382134"/>
    <w:rsid w:val="51C81362"/>
    <w:rsid w:val="584772B1"/>
    <w:rsid w:val="5A047774"/>
    <w:rsid w:val="5AD2682C"/>
    <w:rsid w:val="5AF74FA3"/>
    <w:rsid w:val="5D235A0E"/>
    <w:rsid w:val="65CF1D75"/>
    <w:rsid w:val="67BD4DE0"/>
    <w:rsid w:val="68817BAC"/>
    <w:rsid w:val="6F7C57AA"/>
    <w:rsid w:val="6FDE7D45"/>
    <w:rsid w:val="71147BC1"/>
    <w:rsid w:val="71F30FDB"/>
    <w:rsid w:val="7570365B"/>
    <w:rsid w:val="773B7491"/>
    <w:rsid w:val="7761651E"/>
    <w:rsid w:val="77E55B03"/>
    <w:rsid w:val="7816251D"/>
    <w:rsid w:val="79E769F8"/>
    <w:rsid w:val="7A222A70"/>
    <w:rsid w:val="7B1941AA"/>
    <w:rsid w:val="7FFF41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5"/>
    <w:qFormat/>
    <w:uiPriority w:val="0"/>
    <w:pPr>
      <w:keepNext/>
      <w:keepLines/>
      <w:spacing w:before="260" w:after="260" w:line="413" w:lineRule="auto"/>
      <w:outlineLvl w:val="1"/>
    </w:pPr>
    <w:rPr>
      <w:rFonts w:ascii="Arial" w:hAnsi="Arial" w:eastAsia="黑体" w:cs="Times New Roman"/>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0"/>
    <w:pPr>
      <w:spacing w:after="120"/>
    </w:pPr>
    <w:rPr>
      <w:rFonts w:ascii="Calibri" w:hAnsi="Calibri" w:eastAsia="宋体" w:cs="Times New Roman"/>
    </w:rPr>
  </w:style>
  <w:style w:type="paragraph" w:styleId="4">
    <w:name w:val="Balloon Text"/>
    <w:basedOn w:val="1"/>
    <w:link w:val="10"/>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4"/>
    <w:qFormat/>
    <w:uiPriority w:val="0"/>
    <w:rPr>
      <w:kern w:val="2"/>
      <w:sz w:val="18"/>
      <w:szCs w:val="18"/>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 w:type="paragraph" w:styleId="13">
    <w:name w:val="List Paragraph"/>
    <w:basedOn w:val="1"/>
    <w:unhideWhenUsed/>
    <w:qFormat/>
    <w:uiPriority w:val="99"/>
    <w:pPr>
      <w:ind w:firstLine="420" w:firstLineChars="200"/>
    </w:pPr>
  </w:style>
  <w:style w:type="paragraph" w:customStyle="1" w:styleId="14">
    <w:name w:val="默认段落字体 Para Char Char Char Char Char Char Char Char Char Char"/>
    <w:basedOn w:val="1"/>
    <w:qFormat/>
    <w:uiPriority w:val="0"/>
    <w:rPr>
      <w:rFonts w:ascii="Calibri" w:hAnsi="Calibri" w:eastAsia="宋体" w:cs="Times New Roman"/>
    </w:rPr>
  </w:style>
  <w:style w:type="character" w:customStyle="1" w:styleId="15">
    <w:name w:val="标题 2 Char"/>
    <w:basedOn w:val="9"/>
    <w:link w:val="2"/>
    <w:qFormat/>
    <w:uiPriority w:val="0"/>
    <w:rPr>
      <w:rFonts w:ascii="Arial" w:hAnsi="Arial" w:eastAsia="黑体" w:cs="Times New Roman"/>
      <w:b/>
      <w:kern w:val="2"/>
      <w:sz w:val="32"/>
      <w:szCs w:val="24"/>
    </w:rPr>
  </w:style>
  <w:style w:type="character" w:customStyle="1" w:styleId="16">
    <w:name w:val="正文文本 Char"/>
    <w:basedOn w:val="9"/>
    <w:link w:val="3"/>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4300</Words>
  <Characters>4323</Characters>
  <Lines>1</Lines>
  <Paragraphs>8</Paragraphs>
  <TotalTime>3</TotalTime>
  <ScaleCrop>false</ScaleCrop>
  <LinksUpToDate>false</LinksUpToDate>
  <CharactersWithSpaces>4358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2018-01-13T03:18:00Z</dcterms:created>
  <dc:creator>Lowyimhan</dc:creator>
  <cp:lastModifiedBy>紫林</cp:lastModifiedBy>
  <dcterms:modified xsi:type="dcterms:W3CDTF">2024-12-16T09:06:35Z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D7FBA504A7B74CB183C29EECD8D38625</vt:lpwstr>
  </property>
</Properties>
</file>